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ffff1"/>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E129B9">
        <w:tc>
          <w:tcPr>
            <w:tcW w:w="509" w:type="dxa"/>
          </w:tcPr>
          <w:p w:rsidR="00E129B9" w:rsidRDefault="00C8010E">
            <w:pPr>
              <w:pStyle w:val="afffd"/>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rsidR="00E129B9" w:rsidRDefault="00C8010E">
            <w:pPr>
              <w:pStyle w:val="afffd"/>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hint="eastAsia"/>
                <w:sz w:val="21"/>
                <w:szCs w:val="21"/>
              </w:rPr>
              <w:t>XX.XXX.XX</w:t>
            </w:r>
            <w:r>
              <w:rPr>
                <w:rFonts w:ascii="黑体" w:eastAsia="黑体" w:hAnsi="黑体"/>
                <w:sz w:val="21"/>
                <w:szCs w:val="21"/>
              </w:rPr>
              <w:fldChar w:fldCharType="end"/>
            </w:r>
            <w:bookmarkEnd w:id="0"/>
          </w:p>
        </w:tc>
      </w:tr>
      <w:tr w:rsidR="00E129B9">
        <w:tc>
          <w:tcPr>
            <w:tcW w:w="509" w:type="dxa"/>
          </w:tcPr>
          <w:p w:rsidR="00E129B9" w:rsidRDefault="00C8010E">
            <w:pPr>
              <w:pStyle w:val="afffd"/>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tbl>
            <w:tblPr>
              <w:tblStyle w:val="affff1"/>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E129B9">
              <w:trPr>
                <w:trHeight w:hRule="exact" w:val="1021"/>
              </w:trPr>
              <w:tc>
                <w:tcPr>
                  <w:tcW w:w="9242" w:type="dxa"/>
                  <w:vAlign w:val="center"/>
                </w:tcPr>
                <w:p w:rsidR="00E129B9" w:rsidRDefault="00C8010E" w:rsidP="007D0EB6">
                  <w:pPr>
                    <w:pStyle w:val="affff8"/>
                    <w:framePr w:w="0" w:hRule="auto" w:wrap="auto" w:hAnchor="text" w:xAlign="left" w:yAlign="inline" w:anchorLock="0"/>
                    <w:ind w:left="420" w:right="624"/>
                    <w:rPr>
                      <w:rFonts w:ascii="宋体" w:hAnsi="宋体"/>
                      <w:sz w:val="28"/>
                      <w:szCs w:val="28"/>
                    </w:rPr>
                  </w:pPr>
                  <w:r>
                    <w:rPr>
                      <w:noProof/>
                    </w:rPr>
                    <w:drawing>
                      <wp:inline distT="0" distB="0" distL="0" distR="0">
                        <wp:extent cx="414655" cy="43053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000000部门项目\09标准化插件开发\程序源代码\StandardEditor_ShanDongKeXieYuan\团标首页面字母T.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414720" cy="430560"/>
                                </a:xfrm>
                                <a:prstGeom prst="rect">
                                  <a:avLst/>
                                </a:prstGeom>
                                <a:noFill/>
                                <a:ln>
                                  <a:noFill/>
                                </a:ln>
                              </pic:spPr>
                            </pic:pic>
                          </a:graphicData>
                        </a:graphic>
                      </wp:inline>
                    </w:drawing>
                  </w:r>
                  <w:r>
                    <w:rPr>
                      <w:noProof/>
                    </w:rPr>
                    <w:drawing>
                      <wp:inline distT="0" distB="0" distL="0" distR="0">
                        <wp:extent cx="170815" cy="436245"/>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000000部门项目\09标准化插件开发\程序源代码\StandardEditor_ShanDongKeXieYuan\团标首页面字母T后面的反斜杠.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04571" cy="522509"/>
                                </a:xfrm>
                                <a:prstGeom prst="rect">
                                  <a:avLst/>
                                </a:prstGeom>
                                <a:noFill/>
                                <a:ln>
                                  <a:noFill/>
                                </a:ln>
                              </pic:spPr>
                            </pic:pic>
                          </a:graphicData>
                        </a:graphic>
                      </wp:inline>
                    </w:drawing>
                  </w:r>
                  <w:r>
                    <w:rPr>
                      <w:sz w:val="21"/>
                      <w:szCs w:val="21"/>
                    </w:rPr>
                    <w:t xml:space="preserve"> </w:t>
                  </w:r>
                  <w:r>
                    <w:fldChar w:fldCharType="begin">
                      <w:ffData>
                        <w:name w:val="c1"/>
                        <w:enabled/>
                        <w:calcOnExit w:val="0"/>
                        <w:textInput>
                          <w:maxLength w:val="7"/>
                        </w:textInput>
                      </w:ffData>
                    </w:fldChar>
                  </w:r>
                  <w:bookmarkStart w:id="1" w:name="c1"/>
                  <w:r>
                    <w:instrText xml:space="preserve"> FORMTEXT </w:instrText>
                  </w:r>
                  <w:r>
                    <w:fldChar w:fldCharType="separate"/>
                  </w:r>
                  <w:r w:rsidR="009F6BBA">
                    <w:rPr>
                      <w:rFonts w:hint="eastAsia"/>
                    </w:rPr>
                    <w:t>BPPA</w:t>
                  </w:r>
                  <w:r>
                    <w:fldChar w:fldCharType="end"/>
                  </w:r>
                  <w:bookmarkEnd w:id="1"/>
                </w:p>
              </w:tc>
            </w:tr>
          </w:tbl>
          <w:p w:rsidR="00E129B9" w:rsidRDefault="00C8010E">
            <w:pPr>
              <w:pStyle w:val="afffd"/>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2"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hint="eastAsia"/>
                <w:sz w:val="21"/>
                <w:szCs w:val="21"/>
              </w:rPr>
              <w:t>X XX</w:t>
            </w:r>
            <w:r>
              <w:rPr>
                <w:rFonts w:ascii="黑体" w:eastAsia="黑体" w:hAnsi="黑体"/>
                <w:sz w:val="21"/>
                <w:szCs w:val="21"/>
              </w:rPr>
              <w:fldChar w:fldCharType="end"/>
            </w:r>
            <w:bookmarkEnd w:id="2"/>
          </w:p>
        </w:tc>
      </w:tr>
    </w:tbl>
    <w:bookmarkStart w:id="3" w:name="_Hlk26473981"/>
    <w:p w:rsidR="00E129B9" w:rsidRDefault="00C8010E">
      <w:pPr>
        <w:pStyle w:val="affff9"/>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sidR="009F6BBA">
        <w:rPr>
          <w:rFonts w:ascii="黑体" w:eastAsia="黑体" w:hint="eastAsia"/>
          <w:b w:val="0"/>
          <w:w w:val="100"/>
          <w:sz w:val="48"/>
        </w:rPr>
        <w:t>北京医药行业协会</w:t>
      </w:r>
      <w:r>
        <w:rPr>
          <w:rFonts w:ascii="黑体" w:eastAsia="黑体"/>
          <w:b w:val="0"/>
          <w:w w:val="100"/>
          <w:sz w:val="48"/>
        </w:rPr>
        <w:fldChar w:fldCharType="end"/>
      </w:r>
      <w:bookmarkEnd w:id="4"/>
      <w:r>
        <w:rPr>
          <w:rFonts w:ascii="黑体" w:eastAsia="黑体" w:hint="eastAsia"/>
          <w:b w:val="0"/>
          <w:w w:val="100"/>
          <w:sz w:val="48"/>
        </w:rPr>
        <w:t>团体</w:t>
      </w:r>
      <w:r>
        <w:rPr>
          <w:rFonts w:ascii="黑体" w:eastAsia="黑体" w:hAnsi="黑体" w:hint="eastAsia"/>
          <w:b w:val="0"/>
          <w:bCs w:val="0"/>
          <w:w w:val="100"/>
          <w:sz w:val="48"/>
          <w:szCs w:val="48"/>
        </w:rPr>
        <w:t>标准</w:t>
      </w:r>
    </w:p>
    <w:bookmarkEnd w:id="3"/>
    <w:p w:rsidR="00E129B9" w:rsidRDefault="00C8010E">
      <w:pPr>
        <w:pStyle w:val="afffffffffb"/>
        <w:framePr w:wrap="auto"/>
      </w:pPr>
      <w:r>
        <w:t>T/</w:t>
      </w:r>
      <w:r>
        <w:fldChar w:fldCharType="begin">
          <w:ffData>
            <w:name w:val="文字1"/>
            <w:enabled/>
            <w:calcOnExit w:val="0"/>
            <w:textInput>
              <w:default w:val="XXX"/>
            </w:textInput>
          </w:ffData>
        </w:fldChar>
      </w:r>
      <w:bookmarkStart w:id="5" w:name="文字1"/>
      <w:r>
        <w:instrText xml:space="preserve"> FORMTEXT </w:instrText>
      </w:r>
      <w:r>
        <w:fldChar w:fldCharType="separate"/>
      </w:r>
      <w:r w:rsidR="005374E4">
        <w:rPr>
          <w:rFonts w:hint="eastAsia"/>
        </w:rPr>
        <w:t>BPPA</w:t>
      </w:r>
      <w:r>
        <w:fldChar w:fldCharType="end"/>
      </w:r>
      <w:bookmarkEnd w:id="5"/>
      <w:r>
        <w:t xml:space="preserve"> </w:t>
      </w:r>
      <w:r>
        <w:fldChar w:fldCharType="begin">
          <w:ffData>
            <w:name w:val="NSTD_CODE_F"/>
            <w:enabled/>
            <w:calcOnExit w:val="0"/>
            <w:textInput>
              <w:default w:val="XXXX"/>
            </w:textInput>
          </w:ffData>
        </w:fldChar>
      </w:r>
      <w:bookmarkStart w:id="6" w:name="NSTD_CODE_F"/>
      <w:r>
        <w:instrText xml:space="preserve"> FORMTEXT </w:instrText>
      </w:r>
      <w:r>
        <w:fldChar w:fldCharType="separate"/>
      </w:r>
      <w:r>
        <w:t>XXX</w:t>
      </w:r>
      <w:r>
        <w:fldChar w:fldCharType="end"/>
      </w:r>
      <w:bookmarkEnd w:id="6"/>
      <w:r>
        <w:rPr>
          <w:rFonts w:hAnsi="黑体"/>
        </w:rPr>
        <w:t>—</w:t>
      </w:r>
      <w:r>
        <w:fldChar w:fldCharType="begin">
          <w:ffData>
            <w:name w:val="NSTD_CODE_B"/>
            <w:enabled/>
            <w:calcOnExit w:val="0"/>
            <w:textInput>
              <w:default w:val="XXXX"/>
            </w:textInput>
          </w:ffData>
        </w:fldChar>
      </w:r>
      <w:bookmarkStart w:id="7" w:name="NSTD_CODE_B"/>
      <w:r>
        <w:instrText xml:space="preserve"> FORMTEXT </w:instrText>
      </w:r>
      <w:r>
        <w:fldChar w:fldCharType="separate"/>
      </w:r>
      <w:r>
        <w:rPr>
          <w:rFonts w:hint="eastAsia"/>
        </w:rPr>
        <w:t>20XX</w:t>
      </w:r>
      <w:r>
        <w:fldChar w:fldCharType="end"/>
      </w:r>
      <w:bookmarkEnd w:id="7"/>
    </w:p>
    <w:p w:rsidR="00E129B9" w:rsidRDefault="00C8010E">
      <w:pPr>
        <w:pStyle w:val="afffffffffc"/>
        <w:framePr w:wrap="auto"/>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8"/>
    </w:p>
    <w:p w:rsidR="00E129B9" w:rsidRDefault="00C8010E">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w14:anchorId="460373F8" id="直接连接符 73" o:spid="_x0000_s1026" style="position:absolute;left:0;text-align:left;z-index:251659264;visibility:visible;mso-wrap-style:square;mso-wrap-distance-left:9pt;mso-wrap-distance-top:0;mso-wrap-distance-right:9pt;mso-wrap-distance-bottom:0;mso-position-horizontal:absolute;mso-position-horizontal-relative:page;mso-position-vertical:absolut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" o:allowoverlap="f">
                <w10:wrap anchorx="page" anchory="page"/>
              </v:line>
            </w:pict>
          </mc:Fallback>
        </mc:AlternateContent>
      </w:r>
    </w:p>
    <w:p w:rsidR="00E129B9" w:rsidRDefault="00E129B9">
      <w:pPr>
        <w:pStyle w:val="affff9"/>
        <w:framePr w:w="9639" w:h="6976" w:hRule="exact" w:hSpace="0" w:vSpace="0" w:wrap="around" w:hAnchor="page" w:y="6408"/>
        <w:jc w:val="center"/>
        <w:rPr>
          <w:rFonts w:ascii="黑体" w:eastAsia="黑体" w:hAnsi="黑体"/>
          <w:b w:val="0"/>
          <w:bCs w:val="0"/>
          <w:w w:val="100"/>
        </w:rPr>
      </w:pPr>
    </w:p>
    <w:p w:rsidR="00E129B9" w:rsidRDefault="00C8010E">
      <w:pPr>
        <w:pStyle w:val="afffffffffd"/>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sidR="007D0EB6">
        <w:rPr>
          <w:rFonts w:hint="eastAsia"/>
        </w:rPr>
        <w:t>保健食品智能制造技术规范</w:t>
      </w:r>
      <w:r>
        <w:fldChar w:fldCharType="end"/>
      </w:r>
      <w:bookmarkEnd w:id="9"/>
    </w:p>
    <w:p w:rsidR="00E129B9" w:rsidRDefault="00E129B9">
      <w:pPr>
        <w:framePr w:w="9639" w:h="6974" w:hRule="exact" w:wrap="around" w:vAnchor="page" w:hAnchor="page" w:x="1419" w:y="6408" w:anchorLock="1"/>
        <w:ind w:left="-1418"/>
      </w:pPr>
    </w:p>
    <w:p w:rsidR="00E129B9" w:rsidRDefault="00C8010E">
      <w:pPr>
        <w:pStyle w:val="afffffff1"/>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r>
      <w:r>
        <w:rPr>
          <w:rFonts w:eastAsia="黑体"/>
          <w:szCs w:val="28"/>
        </w:rPr>
        <w:fldChar w:fldCharType="separate"/>
      </w:r>
      <w:r>
        <w:rPr>
          <w:rFonts w:eastAsia="黑体" w:hint="eastAsia"/>
          <w:szCs w:val="28"/>
        </w:rPr>
        <w:t>XXXXXXX(</w:t>
      </w:r>
      <w:r>
        <w:rPr>
          <w:rFonts w:eastAsia="黑体" w:hint="eastAsia"/>
          <w:szCs w:val="28"/>
        </w:rPr>
        <w:t>英文标题</w:t>
      </w:r>
      <w:r>
        <w:rPr>
          <w:rFonts w:eastAsia="黑体" w:hint="eastAsia"/>
          <w:szCs w:val="28"/>
        </w:rPr>
        <w:t>)</w:t>
      </w:r>
      <w:r>
        <w:rPr>
          <w:rFonts w:eastAsia="黑体"/>
          <w:szCs w:val="28"/>
        </w:rPr>
        <w:fldChar w:fldCharType="end"/>
      </w:r>
      <w:bookmarkEnd w:id="10"/>
    </w:p>
    <w:p w:rsidR="00E129B9" w:rsidRDefault="00E129B9">
      <w:pPr>
        <w:framePr w:w="9639" w:h="6974" w:hRule="exact" w:wrap="around" w:vAnchor="page" w:hAnchor="page" w:x="1419" w:y="6408" w:anchorLock="1"/>
        <w:spacing w:line="760" w:lineRule="exact"/>
        <w:ind w:left="-1418"/>
      </w:pPr>
    </w:p>
    <w:p w:rsidR="00E129B9" w:rsidRDefault="00E129B9">
      <w:pPr>
        <w:pStyle w:val="afffffff1"/>
        <w:framePr w:w="9639" w:h="6974" w:hRule="exact" w:wrap="around" w:vAnchor="page" w:hAnchor="page" w:x="1419" w:y="6408" w:anchorLock="1"/>
        <w:textAlignment w:val="bottom"/>
        <w:rPr>
          <w:rFonts w:eastAsia="黑体"/>
          <w:szCs w:val="28"/>
        </w:rPr>
      </w:pPr>
    </w:p>
    <w:p w:rsidR="00E129B9" w:rsidRDefault="00C8010E">
      <w:pPr>
        <w:pStyle w:val="afffffff1"/>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sidR="002C5FC7">
        <w:rPr>
          <w:sz w:val="24"/>
          <w:szCs w:val="28"/>
        </w:rPr>
      </w:r>
      <w:r w:rsidR="002C5FC7">
        <w:rPr>
          <w:sz w:val="24"/>
          <w:szCs w:val="28"/>
        </w:rPr>
        <w:fldChar w:fldCharType="separate"/>
      </w:r>
      <w:r>
        <w:rPr>
          <w:sz w:val="24"/>
          <w:szCs w:val="28"/>
        </w:rPr>
        <w:fldChar w:fldCharType="end"/>
      </w:r>
      <w:bookmarkEnd w:id="11"/>
    </w:p>
    <w:p w:rsidR="00E129B9" w:rsidRDefault="00C8010E">
      <w:pPr>
        <w:pStyle w:val="afffffff1"/>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fldChar w:fldCharType="end"/>
      </w:r>
      <w:bookmarkEnd w:id="12"/>
    </w:p>
    <w:p w:rsidR="00E129B9" w:rsidRDefault="00C8010E">
      <w:pPr>
        <w:pStyle w:val="afffffff1"/>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sidR="002C5FC7">
        <w:rPr>
          <w:b/>
          <w:sz w:val="21"/>
          <w:szCs w:val="28"/>
        </w:rPr>
      </w:r>
      <w:r w:rsidR="002C5FC7">
        <w:rPr>
          <w:b/>
          <w:sz w:val="21"/>
          <w:szCs w:val="28"/>
        </w:rPr>
        <w:fldChar w:fldCharType="separate"/>
      </w:r>
      <w:r>
        <w:rPr>
          <w:b/>
          <w:sz w:val="21"/>
          <w:szCs w:val="28"/>
        </w:rPr>
        <w:fldChar w:fldCharType="end"/>
      </w:r>
      <w:bookmarkEnd w:id="13"/>
    </w:p>
    <w:p w:rsidR="00E129B9" w:rsidRDefault="00C8010E">
      <w:pPr>
        <w:pStyle w:val="afffffffff9"/>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Pr>
          <w:rFonts w:ascii="黑体" w:hint="eastAsia"/>
        </w:rPr>
        <w:t>20</w:t>
      </w:r>
      <w:r>
        <w:rPr>
          <w:rFonts w:ascii="黑体"/>
        </w:rPr>
        <w:t>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rPr>
          <w:rFonts w:hint="eastAsia"/>
        </w:rPr>
        <w:t>发布</w:t>
      </w:r>
    </w:p>
    <w:p w:rsidR="00E129B9" w:rsidRDefault="00C8010E">
      <w:pPr>
        <w:pStyle w:val="afffffffffa"/>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hint="eastAsia"/>
        </w:rPr>
        <w:t>20</w:t>
      </w:r>
      <w:r>
        <w:rPr>
          <w:rFonts w:ascii="黑体"/>
        </w:rPr>
        <w:t>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9"/>
      <w:r>
        <w:rPr>
          <w:rFonts w:hint="eastAsia"/>
        </w:rPr>
        <w:t>实施</w:t>
      </w:r>
    </w:p>
    <w:p w:rsidR="00E129B9" w:rsidRDefault="00C8010E">
      <w:pPr>
        <w:pStyle w:val="affffffff1"/>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r>
      <w:r>
        <w:rPr>
          <w:rFonts w:hAnsi="黑体"/>
          <w:w w:val="100"/>
          <w:sz w:val="28"/>
        </w:rPr>
        <w:fldChar w:fldCharType="separate"/>
      </w:r>
      <w:r w:rsidR="009F6BBA">
        <w:rPr>
          <w:rFonts w:hAnsi="黑体" w:hint="eastAsia"/>
          <w:w w:val="100"/>
          <w:sz w:val="28"/>
        </w:rPr>
        <w:t>北京医药行业协会</w:t>
      </w:r>
      <w:r>
        <w:rPr>
          <w:rFonts w:hAnsi="黑体"/>
          <w:w w:val="100"/>
          <w:sz w:val="28"/>
        </w:rPr>
        <w:fldChar w:fldCharType="end"/>
      </w:r>
      <w:bookmarkEnd w:id="20"/>
      <w:r>
        <w:rPr>
          <w:rFonts w:ascii="Times New Roman"/>
          <w:w w:val="100"/>
          <w:sz w:val="28"/>
        </w:rPr>
        <w:t>  </w:t>
      </w:r>
      <w:r>
        <w:rPr>
          <w:rStyle w:val="afffffffffff2"/>
          <w:rFonts w:hAnsi="黑体" w:hint="eastAsia"/>
          <w:position w:val="0"/>
        </w:rPr>
        <w:t>发</w:t>
      </w:r>
      <w:r>
        <w:rPr>
          <w:rStyle w:val="afffffffffff2"/>
          <w:rFonts w:hAnsi="黑体" w:hint="eastAsia"/>
          <w:spacing w:val="0"/>
          <w:position w:val="0"/>
        </w:rPr>
        <w:t>布</w:t>
      </w:r>
    </w:p>
    <w:p w:rsidR="00E129B9" w:rsidRDefault="00C8010E">
      <w:pPr>
        <w:rPr>
          <w:rFonts w:ascii="宋体" w:hAnsi="宋体"/>
          <w:sz w:val="28"/>
          <w:szCs w:val="28"/>
        </w:rPr>
        <w:sectPr w:rsidR="00E129B9">
          <w:headerReference w:type="default" r:id="rId11"/>
          <w:footerReference w:type="even" r:id="rId12"/>
          <w:headerReference w:type="first" r:id="rId13"/>
          <w:footerReference w:type="first" r:id="rId14"/>
          <w:type w:val="continuous"/>
          <w:pgSz w:w="11906" w:h="16838"/>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w14:anchorId="2E8423CF" id="直接连接符 5" o:spid="_x0000_s1026" style="position:absolute;left:0;text-align:left;z-index:251660288;visibility:visible;mso-wrap-style:square;mso-wrap-distance-left:9pt;mso-wrap-distance-top:0;mso-wrap-distance-right:9pt;mso-wrap-distance-bottom:0;mso-position-horizontal:absolute;mso-position-horizontal-relative:page;mso-position-vertical:absolut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">
                <w10:wrap anchorx="page" anchory="page"/>
                <w10:anchorlock/>
              </v:line>
            </w:pict>
          </mc:Fallback>
        </mc:AlternateContent>
      </w:r>
    </w:p>
    <w:p w:rsidR="00E129B9" w:rsidRDefault="00C8010E">
      <w:pPr>
        <w:pStyle w:val="affffff3"/>
        <w:spacing w:after="360"/>
      </w:pPr>
      <w:bookmarkStart w:id="21" w:name="BookMark1"/>
      <w:bookmarkStart w:id="22" w:name="_Toc126680945"/>
      <w:r>
        <w:rPr>
          <w:rFonts w:hint="eastAsia"/>
          <w:spacing w:val="320"/>
        </w:rPr>
        <w:lastRenderedPageBreak/>
        <w:t>目</w:t>
      </w:r>
      <w:r>
        <w:rPr>
          <w:rFonts w:hint="eastAsia"/>
        </w:rPr>
        <w:t>次</w:t>
      </w:r>
    </w:p>
    <w:p w:rsidR="00E129B9" w:rsidRDefault="00C8010E">
      <w:pPr>
        <w:pStyle w:val="10"/>
        <w:tabs>
          <w:tab w:val="right" w:leader="dot" w:pos="9344"/>
        </w:tabs>
        <w:rPr>
          <w:rFonts w:asciiTheme="minorHAnsi" w:eastAsiaTheme="minorEastAsia" w:hAnsiTheme="minorHAnsi" w:cstheme="minorBidi"/>
          <w:szCs w:val="22"/>
        </w:rPr>
      </w:pPr>
      <w:r>
        <w:fldChar w:fldCharType="begin"/>
      </w:r>
      <w:r>
        <w:instrText xml:space="preserve"> TOC \o "1-1" \h \t "标准文件_一级条标题,2,标准文件_附录一级条标题,2," </w:instrText>
      </w:r>
      <w:r>
        <w:fldChar w:fldCharType="separate"/>
      </w:r>
      <w:hyperlink w:anchor="_Toc126681238" w:history="1">
        <w:r>
          <w:rPr>
            <w:rStyle w:val="affff5"/>
            <w:rFonts w:hint="eastAsia"/>
          </w:rPr>
          <w:t>前言</w:t>
        </w:r>
        <w:r>
          <w:tab/>
        </w:r>
        <w:r>
          <w:fldChar w:fldCharType="begin"/>
        </w:r>
        <w:r>
          <w:instrText xml:space="preserve"> PAGEREF _Toc126681238 \h </w:instrText>
        </w:r>
        <w:r>
          <w:fldChar w:fldCharType="separate"/>
        </w:r>
        <w:r>
          <w:t>II</w:t>
        </w:r>
        <w:r>
          <w:fldChar w:fldCharType="end"/>
        </w:r>
      </w:hyperlink>
    </w:p>
    <w:p w:rsidR="00E129B9" w:rsidRDefault="002C5FC7">
      <w:pPr>
        <w:pStyle w:val="10"/>
        <w:tabs>
          <w:tab w:val="right" w:leader="dot" w:pos="9344"/>
        </w:tabs>
        <w:rPr>
          <w:rFonts w:asciiTheme="minorHAnsi" w:eastAsiaTheme="minorEastAsia" w:hAnsiTheme="minorHAnsi" w:cstheme="minorBidi"/>
          <w:szCs w:val="22"/>
        </w:rPr>
      </w:pPr>
      <w:hyperlink w:anchor="_Toc126681239" w:history="1">
        <w:r w:rsidR="00C8010E">
          <w:rPr>
            <w:rStyle w:val="affff5"/>
          </w:rPr>
          <w:t xml:space="preserve">1 </w:t>
        </w:r>
        <w:r w:rsidR="00C8010E">
          <w:rPr>
            <w:rStyle w:val="affff5"/>
            <w:rFonts w:hint="eastAsia"/>
          </w:rPr>
          <w:t xml:space="preserve"> 范围</w:t>
        </w:r>
        <w:r w:rsidR="00C8010E">
          <w:tab/>
        </w:r>
        <w:r w:rsidR="00C8010E">
          <w:fldChar w:fldCharType="begin"/>
        </w:r>
        <w:r w:rsidR="00C8010E">
          <w:instrText xml:space="preserve"> PAGEREF _Toc126681239 \h </w:instrText>
        </w:r>
        <w:r w:rsidR="00C8010E">
          <w:fldChar w:fldCharType="separate"/>
        </w:r>
        <w:r w:rsidR="00C8010E">
          <w:t>1</w:t>
        </w:r>
        <w:r w:rsidR="00C8010E">
          <w:fldChar w:fldCharType="end"/>
        </w:r>
      </w:hyperlink>
    </w:p>
    <w:p w:rsidR="00E129B9" w:rsidRDefault="002C5FC7">
      <w:pPr>
        <w:pStyle w:val="10"/>
        <w:tabs>
          <w:tab w:val="right" w:leader="dot" w:pos="9344"/>
        </w:tabs>
        <w:rPr>
          <w:rFonts w:asciiTheme="minorHAnsi" w:eastAsiaTheme="minorEastAsia" w:hAnsiTheme="minorHAnsi" w:cstheme="minorBidi"/>
          <w:szCs w:val="22"/>
        </w:rPr>
      </w:pPr>
      <w:hyperlink w:anchor="_Toc126681240" w:history="1">
        <w:r w:rsidR="00C8010E">
          <w:rPr>
            <w:rStyle w:val="affff5"/>
          </w:rPr>
          <w:t xml:space="preserve">2 </w:t>
        </w:r>
        <w:r w:rsidR="00C8010E">
          <w:rPr>
            <w:rStyle w:val="affff5"/>
            <w:rFonts w:hint="eastAsia"/>
          </w:rPr>
          <w:t xml:space="preserve"> 规范性引用文件</w:t>
        </w:r>
        <w:r w:rsidR="00C8010E">
          <w:tab/>
        </w:r>
        <w:r w:rsidR="00C8010E">
          <w:fldChar w:fldCharType="begin"/>
        </w:r>
        <w:r w:rsidR="00C8010E">
          <w:instrText xml:space="preserve"> PAGEREF _Toc126681240 \h </w:instrText>
        </w:r>
        <w:r w:rsidR="00C8010E">
          <w:fldChar w:fldCharType="separate"/>
        </w:r>
        <w:r w:rsidR="00C8010E">
          <w:t>1</w:t>
        </w:r>
        <w:r w:rsidR="00C8010E">
          <w:fldChar w:fldCharType="end"/>
        </w:r>
      </w:hyperlink>
    </w:p>
    <w:p w:rsidR="00E129B9" w:rsidRDefault="002C5FC7">
      <w:pPr>
        <w:pStyle w:val="10"/>
        <w:tabs>
          <w:tab w:val="right" w:leader="dot" w:pos="9344"/>
        </w:tabs>
        <w:rPr>
          <w:rFonts w:asciiTheme="minorHAnsi" w:eastAsiaTheme="minorEastAsia" w:hAnsiTheme="minorHAnsi" w:cstheme="minorBidi"/>
          <w:szCs w:val="22"/>
        </w:rPr>
      </w:pPr>
      <w:hyperlink w:anchor="_Toc126681241" w:history="1">
        <w:r w:rsidR="00C8010E">
          <w:rPr>
            <w:rStyle w:val="affff5"/>
          </w:rPr>
          <w:t xml:space="preserve">3 </w:t>
        </w:r>
        <w:r w:rsidR="00C8010E">
          <w:rPr>
            <w:rStyle w:val="affff5"/>
            <w:rFonts w:hint="eastAsia"/>
          </w:rPr>
          <w:t xml:space="preserve"> 术语和定义</w:t>
        </w:r>
        <w:r w:rsidR="00C8010E">
          <w:tab/>
        </w:r>
        <w:r w:rsidR="00C8010E">
          <w:fldChar w:fldCharType="begin"/>
        </w:r>
        <w:r w:rsidR="00C8010E">
          <w:instrText xml:space="preserve"> PAGEREF _Toc126681241 \h </w:instrText>
        </w:r>
        <w:r w:rsidR="00C8010E">
          <w:fldChar w:fldCharType="separate"/>
        </w:r>
        <w:r w:rsidR="00C8010E">
          <w:t>1</w:t>
        </w:r>
        <w:r w:rsidR="00C8010E">
          <w:fldChar w:fldCharType="end"/>
        </w:r>
      </w:hyperlink>
    </w:p>
    <w:p w:rsidR="00E129B9" w:rsidRDefault="002C5FC7">
      <w:pPr>
        <w:pStyle w:val="10"/>
        <w:tabs>
          <w:tab w:val="right" w:leader="dot" w:pos="9344"/>
        </w:tabs>
        <w:rPr>
          <w:rFonts w:asciiTheme="minorHAnsi" w:eastAsiaTheme="minorEastAsia" w:hAnsiTheme="minorHAnsi" w:cstheme="minorBidi"/>
          <w:szCs w:val="22"/>
        </w:rPr>
      </w:pPr>
      <w:hyperlink w:anchor="_Toc126681242" w:history="1">
        <w:r w:rsidR="00C8010E">
          <w:rPr>
            <w:rStyle w:val="affff5"/>
          </w:rPr>
          <w:t xml:space="preserve">4  </w:t>
        </w:r>
        <w:r w:rsidR="00C8010E">
          <w:rPr>
            <w:rStyle w:val="affff5"/>
          </w:rPr>
          <w:t>×××××</w:t>
        </w:r>
        <w:r w:rsidR="00C8010E">
          <w:tab/>
        </w:r>
        <w:r w:rsidR="00C8010E">
          <w:fldChar w:fldCharType="begin"/>
        </w:r>
        <w:r w:rsidR="00C8010E">
          <w:instrText xml:space="preserve"> PAGEREF _Toc126681242 \h </w:instrText>
        </w:r>
        <w:r w:rsidR="00C8010E">
          <w:fldChar w:fldCharType="separate"/>
        </w:r>
        <w:r w:rsidR="00C8010E">
          <w:t>1</w:t>
        </w:r>
        <w:r w:rsidR="00C8010E">
          <w:fldChar w:fldCharType="end"/>
        </w:r>
      </w:hyperlink>
    </w:p>
    <w:p w:rsidR="00E129B9" w:rsidRDefault="002C5FC7">
      <w:pPr>
        <w:pStyle w:val="23"/>
        <w:rPr>
          <w:rFonts w:asciiTheme="minorHAnsi" w:eastAsiaTheme="minorEastAsia" w:hAnsiTheme="minorHAnsi" w:cstheme="minorBidi"/>
          <w:szCs w:val="22"/>
        </w:rPr>
      </w:pPr>
      <w:hyperlink w:anchor="_Toc126681243" w:history="1">
        <w:r w:rsidR="00C8010E">
          <w:rPr>
            <w:rStyle w:val="affff5"/>
            <w14:scene3d>
              <w14:camera w14:prst="orthographicFront"/>
              <w14:lightRig w14:rig="threePt" w14:dir="t">
                <w14:rot w14:lat="0" w14:lon="0" w14:rev="0"/>
              </w14:lightRig>
            </w14:scene3d>
          </w:rPr>
          <w:t xml:space="preserve">4.1 </w:t>
        </w:r>
        <w:r w:rsidR="00C8010E">
          <w:rPr>
            <w:rStyle w:val="affff5"/>
          </w:rPr>
          <w:t xml:space="preserve"> </w:t>
        </w:r>
        <w:r w:rsidR="00C8010E">
          <w:rPr>
            <w:rStyle w:val="affff5"/>
          </w:rPr>
          <w:t>×××××</w:t>
        </w:r>
        <w:r w:rsidR="00C8010E">
          <w:tab/>
        </w:r>
        <w:r w:rsidR="00C8010E">
          <w:fldChar w:fldCharType="begin"/>
        </w:r>
        <w:r w:rsidR="00C8010E">
          <w:instrText xml:space="preserve"> PAGEREF _Toc126681243 \h </w:instrText>
        </w:r>
        <w:r w:rsidR="00C8010E">
          <w:fldChar w:fldCharType="separate"/>
        </w:r>
        <w:r w:rsidR="00C8010E">
          <w:t>1</w:t>
        </w:r>
        <w:r w:rsidR="00C8010E">
          <w:fldChar w:fldCharType="end"/>
        </w:r>
      </w:hyperlink>
    </w:p>
    <w:p w:rsidR="00E129B9" w:rsidRDefault="00C8010E">
      <w:pPr>
        <w:pStyle w:val="affffff3"/>
        <w:spacing w:after="360"/>
        <w:sectPr w:rsidR="00E129B9">
          <w:headerReference w:type="even" r:id="rId15"/>
          <w:headerReference w:type="default" r:id="rId16"/>
          <w:footerReference w:type="default" r:id="rId17"/>
          <w:pgSz w:w="11906" w:h="16838"/>
          <w:pgMar w:top="1928" w:right="1134" w:bottom="1134" w:left="1134" w:header="1418" w:footer="1134" w:gutter="284"/>
          <w:pgNumType w:fmt="upperRoman" w:start="1"/>
          <w:cols w:space="425"/>
          <w:formProt w:val="0"/>
          <w:docGrid w:linePitch="312"/>
        </w:sectPr>
      </w:pPr>
      <w:r>
        <w:fldChar w:fldCharType="end"/>
      </w:r>
    </w:p>
    <w:p w:rsidR="00E129B9" w:rsidRDefault="00C8010E">
      <w:pPr>
        <w:pStyle w:val="a6"/>
        <w:spacing w:before="900" w:after="360"/>
      </w:pPr>
      <w:bookmarkStart w:id="23" w:name="_Toc126681238"/>
      <w:bookmarkStart w:id="24" w:name="BookMark2"/>
      <w:bookmarkEnd w:id="21"/>
      <w:r>
        <w:rPr>
          <w:spacing w:val="320"/>
        </w:rPr>
        <w:lastRenderedPageBreak/>
        <w:t>前</w:t>
      </w:r>
      <w:r>
        <w:t>言</w:t>
      </w:r>
      <w:bookmarkEnd w:id="22"/>
      <w:bookmarkEnd w:id="23"/>
    </w:p>
    <w:p w:rsidR="00E129B9" w:rsidRDefault="00C8010E">
      <w:pPr>
        <w:pStyle w:val="affffe"/>
        <w:ind w:firstLine="420"/>
      </w:pPr>
      <w:r>
        <w:rPr>
          <w:rFonts w:hint="eastAsia"/>
        </w:rPr>
        <w:t>本文件按照GB/T 1.1—2020《标准化工作导则  第1部分：标准化文件的结构和起草规则》的规定起草。</w:t>
      </w:r>
    </w:p>
    <w:p w:rsidR="00E129B9" w:rsidRDefault="00C8010E">
      <w:pPr>
        <w:pStyle w:val="affffe"/>
        <w:ind w:firstLine="420"/>
      </w:pPr>
      <w:r>
        <w:rPr>
          <w:rFonts w:hint="eastAsia"/>
        </w:rPr>
        <w:t>请注意本文件的某些内容可能涉及专利。本文件的发布机构不承担识别专利的责任。</w:t>
      </w:r>
    </w:p>
    <w:p w:rsidR="00E129B9" w:rsidRDefault="00C8010E">
      <w:pPr>
        <w:pStyle w:val="affffe"/>
        <w:ind w:firstLine="420"/>
      </w:pPr>
      <w:r>
        <w:rPr>
          <w:rFonts w:hint="eastAsia"/>
        </w:rPr>
        <w:t>××××</w:t>
      </w:r>
    </w:p>
    <w:p w:rsidR="00E129B9" w:rsidRDefault="00C8010E">
      <w:pPr>
        <w:pStyle w:val="affffe"/>
        <w:ind w:firstLine="420"/>
      </w:pPr>
      <w:r>
        <w:rPr>
          <w:rFonts w:hint="eastAsia"/>
        </w:rPr>
        <w:t>××××</w:t>
      </w:r>
    </w:p>
    <w:p w:rsidR="00E129B9" w:rsidRDefault="00C8010E">
      <w:pPr>
        <w:pStyle w:val="affffe"/>
        <w:ind w:firstLine="420"/>
      </w:pPr>
      <w:r>
        <w:rPr>
          <w:rFonts w:hint="eastAsia"/>
        </w:rPr>
        <w:t>本文件由××××提出。</w:t>
      </w:r>
    </w:p>
    <w:p w:rsidR="00E129B9" w:rsidRDefault="00C8010E">
      <w:pPr>
        <w:pStyle w:val="affffe"/>
        <w:ind w:firstLine="420"/>
      </w:pPr>
      <w:r>
        <w:rPr>
          <w:rFonts w:hint="eastAsia"/>
        </w:rPr>
        <w:t>本文件由××××归口。</w:t>
      </w:r>
    </w:p>
    <w:p w:rsidR="00E129B9" w:rsidRDefault="00C8010E">
      <w:pPr>
        <w:pStyle w:val="affffe"/>
        <w:ind w:firstLine="420"/>
      </w:pPr>
      <w:r>
        <w:rPr>
          <w:rFonts w:hint="eastAsia"/>
        </w:rPr>
        <w:t>本文件起草单位：</w:t>
      </w:r>
    </w:p>
    <w:p w:rsidR="00E129B9" w:rsidRDefault="00C8010E">
      <w:pPr>
        <w:pStyle w:val="affffe"/>
        <w:ind w:firstLine="420"/>
      </w:pPr>
      <w:r>
        <w:rPr>
          <w:rFonts w:hint="eastAsia"/>
        </w:rPr>
        <w:t>本文件主要起草人：</w:t>
      </w:r>
    </w:p>
    <w:p w:rsidR="00E129B9" w:rsidRDefault="00E129B9">
      <w:pPr>
        <w:pStyle w:val="affffe"/>
        <w:ind w:firstLine="420"/>
      </w:pPr>
    </w:p>
    <w:p w:rsidR="00E129B9" w:rsidRDefault="00E129B9">
      <w:pPr>
        <w:pStyle w:val="affffe"/>
        <w:ind w:firstLine="420"/>
        <w:sectPr w:rsidR="00E129B9">
          <w:pgSz w:w="11906" w:h="16838"/>
          <w:pgMar w:top="1928" w:right="1134" w:bottom="1134" w:left="1134" w:header="1418" w:footer="1134" w:gutter="284"/>
          <w:pgNumType w:fmt="upperRoman"/>
          <w:cols w:space="425"/>
          <w:formProt w:val="0"/>
          <w:docGrid w:linePitch="312"/>
        </w:sectPr>
      </w:pPr>
    </w:p>
    <w:p w:rsidR="00E129B9" w:rsidRDefault="00E129B9">
      <w:pPr>
        <w:spacing w:line="20" w:lineRule="exact"/>
        <w:jc w:val="center"/>
        <w:rPr>
          <w:rFonts w:ascii="黑体" w:eastAsia="黑体" w:hAnsi="黑体"/>
          <w:sz w:val="32"/>
          <w:szCs w:val="32"/>
        </w:rPr>
      </w:pPr>
      <w:bookmarkStart w:id="25" w:name="BookMark4"/>
      <w:bookmarkEnd w:id="24"/>
    </w:p>
    <w:p w:rsidR="00E129B9" w:rsidRDefault="00E129B9">
      <w:pPr>
        <w:spacing w:line="20" w:lineRule="exact"/>
        <w:jc w:val="center"/>
        <w:rPr>
          <w:rFonts w:ascii="黑体" w:eastAsia="黑体" w:hAnsi="黑体"/>
          <w:sz w:val="32"/>
          <w:szCs w:val="32"/>
        </w:rPr>
      </w:pPr>
    </w:p>
    <w:bookmarkStart w:id="26" w:name="OLE_LINK1" w:displacedByCustomXml="next"/>
    <w:bookmarkStart w:id="27" w:name="NEW_STAND_NAME" w:displacedByCustomXml="next"/>
    <w:sdt>
      <w:sdtPr>
        <w:tag w:val="NEW_STAND_NAME"/>
        <w:id w:val="595910757"/>
        <w:lock w:val="sdtLocked"/>
        <w:placeholder>
          <w:docPart w:val="5B2B25F14E2B41BE8CEB1C606C602429"/>
        </w:placeholder>
      </w:sdtPr>
      <w:sdtEndPr/>
      <w:sdtContent>
        <w:p w:rsidR="00E129B9" w:rsidRDefault="007D0EB6">
          <w:pPr>
            <w:pStyle w:val="afffffffff1"/>
            <w:spacing w:beforeLines="1" w:before="2" w:afterLines="220" w:after="528"/>
          </w:pPr>
          <w:r>
            <w:t>保健食品智能制造技术规范</w:t>
          </w:r>
        </w:p>
      </w:sdtContent>
    </w:sdt>
    <w:p w:rsidR="00E129B9" w:rsidRDefault="00C8010E">
      <w:pPr>
        <w:pStyle w:val="affc"/>
        <w:spacing w:before="240" w:after="240"/>
      </w:pPr>
      <w:bookmarkStart w:id="28" w:name="_Toc126680295"/>
      <w:bookmarkStart w:id="29" w:name="_Toc26986530"/>
      <w:bookmarkStart w:id="30" w:name="_Toc17233333"/>
      <w:bookmarkStart w:id="31" w:name="_Toc126681239"/>
      <w:bookmarkStart w:id="32" w:name="_Toc24884211"/>
      <w:bookmarkStart w:id="33" w:name="_Toc126680946"/>
      <w:bookmarkStart w:id="34" w:name="_Toc97192964"/>
      <w:bookmarkStart w:id="35" w:name="_Toc26718930"/>
      <w:bookmarkStart w:id="36" w:name="_Toc26648465"/>
      <w:bookmarkStart w:id="37" w:name="_Toc17233325"/>
      <w:bookmarkStart w:id="38" w:name="_Toc26986771"/>
      <w:bookmarkStart w:id="39" w:name="_Toc24884218"/>
      <w:bookmarkEnd w:id="27"/>
      <w:bookmarkEnd w:id="26"/>
      <w:r>
        <w:rPr>
          <w:rFonts w:hint="eastAsia"/>
        </w:rPr>
        <w:t>范围</w:t>
      </w:r>
      <w:bookmarkEnd w:id="28"/>
      <w:bookmarkEnd w:id="29"/>
      <w:bookmarkEnd w:id="30"/>
      <w:bookmarkEnd w:id="31"/>
      <w:bookmarkEnd w:id="32"/>
      <w:bookmarkEnd w:id="33"/>
      <w:bookmarkEnd w:id="34"/>
      <w:bookmarkEnd w:id="35"/>
      <w:bookmarkEnd w:id="36"/>
      <w:bookmarkEnd w:id="37"/>
      <w:bookmarkEnd w:id="38"/>
      <w:bookmarkEnd w:id="39"/>
    </w:p>
    <w:p w:rsidR="00E129B9" w:rsidRDefault="00AE22B5" w:rsidP="00AE22B5">
      <w:pPr>
        <w:pStyle w:val="affffe"/>
        <w:ind w:firstLine="420"/>
        <w:rPr>
          <w:rFonts w:hint="eastAsia"/>
        </w:rPr>
      </w:pPr>
      <w:bookmarkStart w:id="40" w:name="_Toc17233326"/>
      <w:bookmarkStart w:id="41" w:name="_Toc24884219"/>
      <w:bookmarkStart w:id="42" w:name="_Toc17233334"/>
      <w:bookmarkStart w:id="43" w:name="_Toc26648466"/>
      <w:bookmarkStart w:id="44" w:name="_Toc24884212"/>
      <w:r>
        <w:rPr>
          <w:rFonts w:hint="eastAsia"/>
        </w:rPr>
        <w:t>本文件提供了保健食品行业数字化建设的</w:t>
      </w:r>
      <w:r>
        <w:rPr>
          <w:rFonts w:hint="eastAsia"/>
        </w:rPr>
        <w:t>规划、资源支持、运行实施、检查反馈和改进提升等指导</w:t>
      </w:r>
      <w:r>
        <w:rPr>
          <w:rFonts w:hint="eastAsia"/>
        </w:rPr>
        <w:t>。本文件适用于保健食品企业的数字化建设与</w:t>
      </w:r>
      <w:r>
        <w:rPr>
          <w:rFonts w:hint="eastAsia"/>
        </w:rPr>
        <w:t>。</w:t>
      </w:r>
    </w:p>
    <w:p w:rsidR="00E129B9" w:rsidRDefault="00C8010E">
      <w:pPr>
        <w:pStyle w:val="affc"/>
        <w:spacing w:before="240" w:after="240"/>
      </w:pPr>
      <w:bookmarkStart w:id="45" w:name="_Toc26986531"/>
      <w:bookmarkStart w:id="46" w:name="_Toc26986772"/>
      <w:bookmarkStart w:id="47" w:name="_Toc126680296"/>
      <w:bookmarkStart w:id="48" w:name="_Toc126681240"/>
      <w:bookmarkStart w:id="49" w:name="_Toc126680947"/>
      <w:bookmarkStart w:id="50" w:name="_Toc26718931"/>
      <w:bookmarkStart w:id="51" w:name="_Toc97192965"/>
      <w:r>
        <w:rPr>
          <w:rFonts w:hint="eastAsia"/>
        </w:rPr>
        <w:t>规范性引用文件</w:t>
      </w:r>
      <w:bookmarkEnd w:id="40"/>
      <w:bookmarkEnd w:id="41"/>
      <w:bookmarkEnd w:id="42"/>
      <w:bookmarkEnd w:id="43"/>
      <w:bookmarkEnd w:id="44"/>
      <w:bookmarkEnd w:id="45"/>
      <w:bookmarkEnd w:id="46"/>
      <w:bookmarkEnd w:id="47"/>
      <w:bookmarkEnd w:id="48"/>
      <w:bookmarkEnd w:id="49"/>
      <w:bookmarkEnd w:id="50"/>
      <w:bookmarkEnd w:id="51"/>
    </w:p>
    <w:sdt>
      <w:sdtPr>
        <w:rPr>
          <w:rFonts w:hint="eastAsia"/>
        </w:rPr>
        <w:id w:val="715848253"/>
        <w:placeholder>
          <w:docPart w:val="BF1A74E022944492BCA36EC633F95DA2"/>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E129B9" w:rsidRDefault="00C8010E">
          <w:pPr>
            <w:pStyle w:val="affffe"/>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AE22B5" w:rsidRDefault="00AE22B5" w:rsidP="00AE22B5">
      <w:pPr>
        <w:pStyle w:val="affffe"/>
        <w:ind w:firstLine="420"/>
      </w:pPr>
      <w:r>
        <w:rPr>
          <w:rFonts w:hint="eastAsia"/>
        </w:rPr>
        <w:t>GB/T 22239  信息安全技术  网络安全等级保护基本要求</w:t>
      </w:r>
    </w:p>
    <w:p w:rsidR="00AE22B5" w:rsidRDefault="00AE22B5" w:rsidP="00AE22B5">
      <w:pPr>
        <w:pStyle w:val="affffe"/>
        <w:ind w:firstLine="420"/>
      </w:pPr>
      <w:r>
        <w:rPr>
          <w:rFonts w:hint="eastAsia"/>
        </w:rPr>
        <w:t>GB/T 35273  信息安全技术  个人信息安全规范</w:t>
      </w:r>
    </w:p>
    <w:p w:rsidR="00AE22B5" w:rsidRDefault="00AE22B5" w:rsidP="00B30A74">
      <w:pPr>
        <w:pStyle w:val="affffe"/>
        <w:tabs>
          <w:tab w:val="left" w:pos="6053"/>
        </w:tabs>
        <w:ind w:firstLine="420"/>
      </w:pPr>
      <w:r>
        <w:rPr>
          <w:rFonts w:hint="eastAsia"/>
        </w:rPr>
        <w:t>GB/T 37988  信息安全技术  数据安全能力成熟度模型</w:t>
      </w:r>
      <w:r w:rsidR="00B30A74">
        <w:tab/>
      </w:r>
    </w:p>
    <w:p w:rsidR="00E129B9" w:rsidRDefault="00AE22B5" w:rsidP="00AE22B5">
      <w:pPr>
        <w:pStyle w:val="affffe"/>
        <w:ind w:firstLine="420"/>
      </w:pPr>
      <w:r>
        <w:rPr>
          <w:rFonts w:hint="eastAsia"/>
        </w:rPr>
        <w:t>GB/T 23011  信息化和工业化融合  数字化转型  价值效益参考模型</w:t>
      </w:r>
    </w:p>
    <w:p w:rsidR="00B30A74" w:rsidRDefault="00B30A74" w:rsidP="00B30A74">
      <w:pPr>
        <w:pStyle w:val="affffe"/>
        <w:ind w:firstLine="420"/>
      </w:pPr>
      <w:r>
        <w:rPr>
          <w:rFonts w:hint="eastAsia"/>
        </w:rPr>
        <w:t>JJF 1356 计量认证准则 第1356号 软件产品计量认证</w:t>
      </w:r>
    </w:p>
    <w:p w:rsidR="00B30A74" w:rsidRDefault="00B30A74" w:rsidP="00B30A74">
      <w:pPr>
        <w:pStyle w:val="affffe"/>
        <w:ind w:firstLine="420"/>
        <w:rPr>
          <w:rFonts w:hint="eastAsia"/>
        </w:rPr>
      </w:pPr>
      <w:r>
        <w:rPr>
          <w:rFonts w:hint="eastAsia"/>
        </w:rPr>
        <w:t>GB/T</w:t>
      </w:r>
      <w:r>
        <w:t xml:space="preserve"> </w:t>
      </w:r>
      <w:r>
        <w:rPr>
          <w:rFonts w:hint="eastAsia"/>
        </w:rPr>
        <w:t>26335 工业企业信息化集成系统规范</w:t>
      </w:r>
    </w:p>
    <w:p w:rsidR="00E129B9" w:rsidRDefault="00C8010E">
      <w:pPr>
        <w:pStyle w:val="affc"/>
        <w:spacing w:before="240" w:after="240"/>
      </w:pPr>
      <w:bookmarkStart w:id="52" w:name="_Toc126681241"/>
      <w:bookmarkStart w:id="53" w:name="_Toc97192966"/>
      <w:bookmarkStart w:id="54" w:name="_Toc126680297"/>
      <w:bookmarkStart w:id="55" w:name="_Toc126680948"/>
      <w:r>
        <w:rPr>
          <w:rFonts w:hint="eastAsia"/>
          <w:szCs w:val="21"/>
        </w:rPr>
        <w:t>术语和定义</w:t>
      </w:r>
      <w:bookmarkEnd w:id="52"/>
      <w:bookmarkEnd w:id="53"/>
      <w:bookmarkEnd w:id="54"/>
      <w:bookmarkEnd w:id="55"/>
    </w:p>
    <w:bookmarkStart w:id="56" w:name="_Toc26986532" w:displacedByCustomXml="next"/>
    <w:bookmarkEnd w:id="56" w:displacedByCustomXml="next"/>
    <w:sdt>
      <w:sdtPr>
        <w:id w:val="-1909835108"/>
        <w:placeholder>
          <w:docPart w:val="7F4ED008B3B74F18BB02BFD7B9B40A31"/>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rsidR="00E129B9" w:rsidRDefault="00C8010E">
          <w:pPr>
            <w:pStyle w:val="affffe"/>
            <w:ind w:firstLine="420"/>
          </w:pPr>
          <w:r>
            <w:t>下列术语和定义适用于本文件。</w:t>
          </w:r>
        </w:p>
      </w:sdtContent>
    </w:sdt>
    <w:p w:rsidR="00E129B9" w:rsidRDefault="00C8010E">
      <w:pPr>
        <w:pStyle w:val="affffe"/>
        <w:ind w:firstLine="420"/>
      </w:pPr>
      <w:r>
        <w:rPr>
          <w:rFonts w:hint="eastAsia"/>
        </w:rPr>
        <w:t>×××××</w:t>
      </w:r>
    </w:p>
    <w:p w:rsidR="00E129B9" w:rsidRDefault="00C8010E">
      <w:pPr>
        <w:pStyle w:val="affffe"/>
        <w:ind w:firstLine="420"/>
      </w:pPr>
      <w:r>
        <w:rPr>
          <w:rFonts w:hint="eastAsia"/>
        </w:rPr>
        <w:t>×××××</w:t>
      </w:r>
    </w:p>
    <w:p w:rsidR="0083458D" w:rsidRDefault="0083458D" w:rsidP="00AE22B5">
      <w:pPr>
        <w:pStyle w:val="affffffffffd"/>
        <w:ind w:left="420" w:hangingChars="200" w:hanging="420"/>
        <w:rPr>
          <w:rFonts w:ascii="黑体" w:eastAsia="黑体" w:hAnsi="黑体"/>
        </w:rPr>
      </w:pPr>
      <w:r>
        <w:rPr>
          <w:rFonts w:ascii="黑体" w:eastAsia="黑体" w:hAnsi="黑体"/>
        </w:rPr>
        <w:t>保健食品</w:t>
      </w:r>
    </w:p>
    <w:p w:rsidR="0083458D" w:rsidRDefault="00B30A74" w:rsidP="0083458D">
      <w:pPr>
        <w:pStyle w:val="affffe"/>
        <w:ind w:firstLine="420"/>
        <w:rPr>
          <w:color w:val="333333"/>
          <w:shd w:val="clear" w:color="auto" w:fill="FFFFFF"/>
        </w:rPr>
      </w:pPr>
      <w:r>
        <w:rPr>
          <w:rFonts w:hint="eastAsia"/>
          <w:color w:val="333333"/>
          <w:shd w:val="clear" w:color="auto" w:fill="FFFFFF"/>
        </w:rPr>
        <w:t>保健食品，是指声称具有保健功能或者以补充维生素、矿物质等营养物质为目的的食品。即适宜于特定人群食用，具有调节机体功能，不以治疗疾病为目的，并且对人体不产生任何急性、亚急性或慢性危害的食品</w:t>
      </w:r>
      <w:r>
        <w:rPr>
          <w:rFonts w:hint="eastAsia"/>
          <w:color w:val="333333"/>
          <w:shd w:val="clear" w:color="auto" w:fill="FFFFFF"/>
        </w:rPr>
        <w:t>。</w:t>
      </w:r>
    </w:p>
    <w:p w:rsidR="00B30A74" w:rsidRPr="0083458D" w:rsidRDefault="00B30A74" w:rsidP="0083458D">
      <w:pPr>
        <w:pStyle w:val="affffe"/>
        <w:ind w:firstLine="420"/>
        <w:rPr>
          <w:rFonts w:hint="eastAsia"/>
        </w:rPr>
      </w:pPr>
      <w:r>
        <w:rPr>
          <w:rFonts w:hint="eastAsia"/>
        </w:rPr>
        <w:t>[</w:t>
      </w:r>
      <w:r>
        <w:rPr>
          <w:rFonts w:hint="eastAsia"/>
          <w:color w:val="333333"/>
          <w:shd w:val="clear" w:color="auto" w:fill="FFFFFF"/>
        </w:rPr>
        <w:t>来源：</w:t>
      </w:r>
      <w:r>
        <w:rPr>
          <w:rFonts w:hint="eastAsia"/>
          <w:color w:val="333333"/>
          <w:shd w:val="clear" w:color="auto" w:fill="FFFFFF"/>
        </w:rPr>
        <w:t>《中华人民共和国食品安全法释义》</w:t>
      </w:r>
      <w:r>
        <w:rPr>
          <w:rFonts w:hint="eastAsia"/>
        </w:rPr>
        <w:t>]</w:t>
      </w:r>
    </w:p>
    <w:p w:rsidR="00AE22B5" w:rsidRDefault="00AE22B5" w:rsidP="00AE22B5">
      <w:pPr>
        <w:pStyle w:val="affffffffffd"/>
        <w:ind w:left="420" w:hangingChars="200" w:hanging="420"/>
        <w:rPr>
          <w:rFonts w:ascii="黑体" w:eastAsia="黑体" w:hAnsi="黑体"/>
        </w:rPr>
      </w:pPr>
      <w:r>
        <w:rPr>
          <w:rFonts w:ascii="黑体" w:eastAsia="黑体" w:hAnsi="黑体" w:hint="eastAsia"/>
        </w:rPr>
        <w:t>新型能力  enhanced capability</w:t>
      </w:r>
    </w:p>
    <w:p w:rsidR="00AE22B5" w:rsidRDefault="00AE22B5" w:rsidP="00AE22B5">
      <w:pPr>
        <w:pStyle w:val="affffe"/>
        <w:ind w:firstLine="420"/>
      </w:pPr>
      <w:r>
        <w:rPr>
          <w:rFonts w:hint="eastAsia"/>
        </w:rPr>
        <w:t>深化应用新一代信息技术，建立、提升、整合、重构组织的内外部能力，形成应对不确定性变化的本领。</w:t>
      </w:r>
    </w:p>
    <w:p w:rsidR="00AE22B5" w:rsidRDefault="00AE22B5" w:rsidP="00AE22B5">
      <w:pPr>
        <w:pStyle w:val="affffe"/>
        <w:ind w:firstLine="420"/>
      </w:pPr>
      <w:r>
        <w:rPr>
          <w:rFonts w:hint="eastAsia"/>
        </w:rPr>
        <w:t>[来源：GB/T 23011—2022，3.2]</w:t>
      </w:r>
    </w:p>
    <w:p w:rsidR="00AE22B5" w:rsidRDefault="00AE22B5" w:rsidP="00AE22B5">
      <w:pPr>
        <w:pStyle w:val="affffffffffd"/>
        <w:ind w:left="420" w:hangingChars="200" w:hanging="420"/>
        <w:rPr>
          <w:rFonts w:ascii="黑体" w:eastAsia="黑体" w:hAnsi="黑体"/>
        </w:rPr>
      </w:pPr>
      <w:r>
        <w:rPr>
          <w:rFonts w:ascii="黑体" w:eastAsia="黑体" w:hAnsi="黑体" w:hint="eastAsia"/>
        </w:rPr>
        <w:t>数字化转型  digital transformation</w:t>
      </w:r>
    </w:p>
    <w:p w:rsidR="00AE22B5" w:rsidRDefault="00AE22B5" w:rsidP="00AE22B5">
      <w:pPr>
        <w:pStyle w:val="affffe"/>
        <w:ind w:firstLine="420"/>
      </w:pPr>
      <w:r>
        <w:rPr>
          <w:rFonts w:hint="eastAsia"/>
        </w:rPr>
        <w:t>深化应用新一代信息技术，激发数据要素创新驱动潜能，建设提升数字时代生存和发展的新型能力，加速业务优化、创新与重构，创造、传递并获取新价值，实现转型升级和创新发展的过程。</w:t>
      </w:r>
    </w:p>
    <w:p w:rsidR="00AE22B5" w:rsidRDefault="00AE22B5" w:rsidP="00AE22B5">
      <w:pPr>
        <w:pStyle w:val="afff2"/>
      </w:pPr>
      <w:r>
        <w:rPr>
          <w:rFonts w:hint="eastAsia"/>
        </w:rPr>
        <w:t>推进数字化转型通常坚持以价值效益为导向、以新型能力（3.1）为主线、以数据要素为驱动、以业务变革为核心。</w:t>
      </w:r>
    </w:p>
    <w:p w:rsidR="00E129B9" w:rsidRPr="00AE22B5" w:rsidRDefault="00AE22B5" w:rsidP="00AE22B5">
      <w:pPr>
        <w:pStyle w:val="affffe"/>
        <w:ind w:firstLine="420"/>
      </w:pPr>
      <w:r>
        <w:rPr>
          <w:rFonts w:hint="eastAsia"/>
        </w:rPr>
        <w:t>[来源：GB/T 23011—2022，3.3]</w:t>
      </w:r>
    </w:p>
    <w:p w:rsidR="0083458D" w:rsidRDefault="0083458D" w:rsidP="00E35C38">
      <w:pPr>
        <w:pStyle w:val="affc"/>
        <w:spacing w:before="240" w:after="240"/>
      </w:pPr>
      <w:bookmarkStart w:id="57" w:name="_Toc126681242"/>
      <w:bookmarkStart w:id="58" w:name="_Toc166706635"/>
      <w:bookmarkStart w:id="59" w:name="_Toc167461378"/>
      <w:bookmarkStart w:id="60" w:name="_Toc170154633"/>
      <w:bookmarkStart w:id="61" w:name="_Toc170154737"/>
      <w:bookmarkStart w:id="62" w:name="_Toc170155603"/>
      <w:r>
        <w:rPr>
          <w:rFonts w:hint="eastAsia"/>
        </w:rPr>
        <w:t>转型规划</w:t>
      </w:r>
      <w:bookmarkEnd w:id="58"/>
      <w:bookmarkEnd w:id="59"/>
      <w:bookmarkEnd w:id="60"/>
      <w:bookmarkEnd w:id="61"/>
      <w:bookmarkEnd w:id="62"/>
    </w:p>
    <w:p w:rsidR="0083458D" w:rsidRDefault="0083458D" w:rsidP="00EC5823">
      <w:pPr>
        <w:pStyle w:val="affd"/>
        <w:spacing w:before="120" w:after="120"/>
        <w:ind w:left="0"/>
      </w:pPr>
      <w:bookmarkStart w:id="63" w:name="_Toc170154634"/>
      <w:bookmarkStart w:id="64" w:name="_Toc170154738"/>
      <w:bookmarkStart w:id="65" w:name="_Toc170155604"/>
      <w:r>
        <w:rPr>
          <w:rFonts w:hint="eastAsia"/>
        </w:rPr>
        <w:t>数字化战略</w:t>
      </w:r>
      <w:bookmarkEnd w:id="63"/>
      <w:bookmarkEnd w:id="64"/>
      <w:bookmarkEnd w:id="65"/>
    </w:p>
    <w:p w:rsidR="0083458D" w:rsidRDefault="0083458D" w:rsidP="0083458D">
      <w:pPr>
        <w:pStyle w:val="affffe"/>
        <w:ind w:firstLine="420"/>
      </w:pPr>
      <w:r>
        <w:rPr>
          <w:rFonts w:hint="eastAsia"/>
        </w:rPr>
        <w:t>数字化战略是数字化转型工作的规划推进基础及组织动员基础，其内容包括但不限于：</w:t>
      </w:r>
    </w:p>
    <w:p w:rsidR="0083458D" w:rsidRDefault="0083458D" w:rsidP="00E35C38">
      <w:pPr>
        <w:pStyle w:val="af5"/>
        <w:numPr>
          <w:ilvl w:val="0"/>
          <w:numId w:val="32"/>
        </w:numPr>
        <w:tabs>
          <w:tab w:val="clear" w:pos="426"/>
          <w:tab w:val="left" w:pos="851"/>
        </w:tabs>
        <w:spacing w:before="120" w:after="120"/>
      </w:pPr>
      <w:r>
        <w:rPr>
          <w:rFonts w:hint="eastAsia"/>
        </w:rPr>
        <w:t>建立数字化转型战略：包括调整组织与文化、提升产品与服务、获取数据与技术、数</w:t>
      </w:r>
      <w:r w:rsidR="00B30A74">
        <w:rPr>
          <w:rFonts w:hint="eastAsia"/>
        </w:rPr>
        <w:t>字化运营、数字化生产、数字化服务等内容，将数字化转型战略作为保健食品</w:t>
      </w:r>
      <w:r>
        <w:rPr>
          <w:rFonts w:hint="eastAsia"/>
        </w:rPr>
        <w:t>企业发展战略的重要组成部分，形成数字化创新驱动下的一体化战略体系；</w:t>
      </w:r>
    </w:p>
    <w:p w:rsidR="0083458D" w:rsidRDefault="0083458D" w:rsidP="0083458D">
      <w:pPr>
        <w:pStyle w:val="af5"/>
        <w:tabs>
          <w:tab w:val="num" w:pos="851"/>
        </w:tabs>
        <w:spacing w:before="120" w:after="120"/>
      </w:pPr>
      <w:r>
        <w:rPr>
          <w:rFonts w:hint="eastAsia"/>
        </w:rPr>
        <w:lastRenderedPageBreak/>
        <w:t>制定数字化转型实施路径：开展数字化转型诊断对标，制定数字化转型建设路径，包括数字化转型的近期和中长期目标、数字化转型推进组织、资源等内容；</w:t>
      </w:r>
    </w:p>
    <w:p w:rsidR="0083458D" w:rsidRDefault="0083458D" w:rsidP="0083458D">
      <w:pPr>
        <w:pStyle w:val="af5"/>
        <w:tabs>
          <w:tab w:val="num" w:pos="851"/>
        </w:tabs>
        <w:spacing w:before="120" w:after="120"/>
      </w:pPr>
      <w:r>
        <w:rPr>
          <w:rFonts w:hint="eastAsia"/>
        </w:rPr>
        <w:t>建立数字化文化：建立数字化文化的推进机制，识别数字化文化需求，提出数字化工作要求，制定行为准则和指导规范。</w:t>
      </w:r>
    </w:p>
    <w:p w:rsidR="0083458D" w:rsidRDefault="0083458D" w:rsidP="00EC5823">
      <w:pPr>
        <w:pStyle w:val="affd"/>
        <w:spacing w:before="120" w:after="120"/>
        <w:ind w:left="0"/>
      </w:pPr>
      <w:bookmarkStart w:id="66" w:name="_Toc170154635"/>
      <w:bookmarkStart w:id="67" w:name="_Toc170154739"/>
      <w:bookmarkStart w:id="68" w:name="_Toc170155605"/>
      <w:r>
        <w:rPr>
          <w:rFonts w:hint="eastAsia"/>
        </w:rPr>
        <w:t>需求分析</w:t>
      </w:r>
      <w:bookmarkEnd w:id="66"/>
      <w:bookmarkEnd w:id="67"/>
      <w:bookmarkEnd w:id="68"/>
    </w:p>
    <w:p w:rsidR="0083458D" w:rsidRDefault="00B30A74" w:rsidP="0083458D">
      <w:pPr>
        <w:pStyle w:val="affffe"/>
        <w:ind w:firstLine="420"/>
      </w:pPr>
      <w:r>
        <w:rPr>
          <w:rFonts w:hint="eastAsia"/>
        </w:rPr>
        <w:t>保健食品</w:t>
      </w:r>
      <w:r w:rsidR="0083458D">
        <w:rPr>
          <w:rFonts w:hint="eastAsia"/>
        </w:rPr>
        <w:t>企业宜开展需求分析，</w:t>
      </w:r>
      <w:r w:rsidR="0083458D" w:rsidRPr="005579AB">
        <w:rPr>
          <w:rFonts w:hint="eastAsia"/>
        </w:rPr>
        <w:t>包括但不限于：</w:t>
      </w:r>
    </w:p>
    <w:p w:rsidR="0083458D" w:rsidRDefault="0083458D" w:rsidP="0083458D">
      <w:pPr>
        <w:pStyle w:val="af5"/>
        <w:numPr>
          <w:ilvl w:val="0"/>
          <w:numId w:val="33"/>
        </w:numPr>
        <w:tabs>
          <w:tab w:val="num" w:pos="851"/>
        </w:tabs>
        <w:spacing w:before="120" w:after="120"/>
      </w:pPr>
      <w:r>
        <w:rPr>
          <w:rFonts w:hint="eastAsia"/>
        </w:rPr>
        <w:t>基于</w:t>
      </w:r>
      <w:r w:rsidR="00B30A74">
        <w:rPr>
          <w:rFonts w:hint="eastAsia"/>
        </w:rPr>
        <w:t>保健食品</w:t>
      </w:r>
      <w:r>
        <w:rPr>
          <w:rFonts w:hint="eastAsia"/>
        </w:rPr>
        <w:t>行业、企业发展战略，梳理业务发展难点、痛点和提升空间，分析战略与组织、数据与技术、数字化运营、数字化生产、数字化服务等方面的能力，评估企业数字化转型所处阶段；</w:t>
      </w:r>
    </w:p>
    <w:p w:rsidR="0083458D" w:rsidRDefault="0083458D" w:rsidP="0083458D">
      <w:pPr>
        <w:pStyle w:val="af5"/>
        <w:tabs>
          <w:tab w:val="num" w:pos="851"/>
        </w:tabs>
        <w:spacing w:before="120" w:after="120"/>
      </w:pPr>
      <w:r>
        <w:rPr>
          <w:rFonts w:hint="eastAsia"/>
        </w:rPr>
        <w:t>基于公司战略、业务场景需求和行业痛点，制定当前阶段的数字化转型需求与目标，包含意识培训、企业文化建设、业务模式重构、商业模式创新、组织变革等方面的需求与目标；</w:t>
      </w:r>
    </w:p>
    <w:p w:rsidR="0083458D" w:rsidRDefault="0083458D" w:rsidP="0083458D">
      <w:pPr>
        <w:pStyle w:val="af5"/>
        <w:tabs>
          <w:tab w:val="num" w:pos="851"/>
        </w:tabs>
        <w:spacing w:before="120" w:after="120"/>
      </w:pPr>
      <w:r>
        <w:rPr>
          <w:rFonts w:hint="eastAsia"/>
        </w:rPr>
        <w:t>明确数字化转型的价值和意义，包括解决</w:t>
      </w:r>
      <w:r w:rsidR="00B30A74">
        <w:rPr>
          <w:rFonts w:hint="eastAsia"/>
        </w:rPr>
        <w:t>保健食品</w:t>
      </w:r>
      <w:r>
        <w:rPr>
          <w:rFonts w:hint="eastAsia"/>
        </w:rPr>
        <w:t>共性技术难题，赋能降本增效，实现连续化生产，构建数字化共享平台，打造</w:t>
      </w:r>
      <w:r w:rsidR="00B30A74">
        <w:rPr>
          <w:rFonts w:hint="eastAsia"/>
        </w:rPr>
        <w:t>保健食品</w:t>
      </w:r>
      <w:r>
        <w:rPr>
          <w:rFonts w:hint="eastAsia"/>
        </w:rPr>
        <w:t>行业绿色可持续发展生态圈。</w:t>
      </w:r>
    </w:p>
    <w:p w:rsidR="0083458D" w:rsidRDefault="0083458D" w:rsidP="00EC5823">
      <w:pPr>
        <w:pStyle w:val="affd"/>
        <w:spacing w:before="120" w:after="120"/>
        <w:ind w:left="0"/>
      </w:pPr>
      <w:bookmarkStart w:id="69" w:name="_Toc170154636"/>
      <w:bookmarkStart w:id="70" w:name="_Toc170154740"/>
      <w:bookmarkStart w:id="71" w:name="_Toc170155606"/>
      <w:r>
        <w:rPr>
          <w:rFonts w:hint="eastAsia"/>
        </w:rPr>
        <w:t>方案制定</w:t>
      </w:r>
      <w:bookmarkEnd w:id="69"/>
      <w:bookmarkEnd w:id="70"/>
      <w:bookmarkEnd w:id="71"/>
    </w:p>
    <w:p w:rsidR="0083458D" w:rsidRPr="009D4468" w:rsidRDefault="00B30A74" w:rsidP="0083458D">
      <w:pPr>
        <w:pStyle w:val="affffe"/>
        <w:ind w:firstLine="420"/>
      </w:pPr>
      <w:r>
        <w:rPr>
          <w:rFonts w:hint="eastAsia"/>
        </w:rPr>
        <w:t>保健食品</w:t>
      </w:r>
      <w:r w:rsidR="0083458D">
        <w:rPr>
          <w:rFonts w:hint="eastAsia"/>
        </w:rPr>
        <w:t>企业宜根据需求分析制定转型方案，</w:t>
      </w:r>
      <w:r w:rsidR="0083458D" w:rsidRPr="005579AB">
        <w:rPr>
          <w:rFonts w:hint="eastAsia"/>
        </w:rPr>
        <w:t>包括但不限于：</w:t>
      </w:r>
    </w:p>
    <w:p w:rsidR="0083458D" w:rsidRDefault="0083458D" w:rsidP="0083458D">
      <w:pPr>
        <w:pStyle w:val="af5"/>
        <w:numPr>
          <w:ilvl w:val="0"/>
          <w:numId w:val="34"/>
        </w:numPr>
        <w:tabs>
          <w:tab w:val="num" w:pos="851"/>
        </w:tabs>
        <w:spacing w:before="120" w:after="120"/>
      </w:pPr>
      <w:r>
        <w:rPr>
          <w:rFonts w:hint="eastAsia"/>
        </w:rPr>
        <w:t>制定原则：保持行业先进性和引领性；确保行业的共利性和可拓展性；落实高质量可持续的新发展理念；</w:t>
      </w:r>
    </w:p>
    <w:p w:rsidR="0083458D" w:rsidRDefault="0083458D" w:rsidP="0083458D">
      <w:pPr>
        <w:pStyle w:val="af5"/>
        <w:tabs>
          <w:tab w:val="num" w:pos="851"/>
        </w:tabs>
        <w:spacing w:before="120" w:after="120"/>
      </w:pPr>
      <w:r>
        <w:rPr>
          <w:rFonts w:hint="eastAsia"/>
        </w:rPr>
        <w:t>制定数字化转型总体方案：涵盖</w:t>
      </w:r>
      <w:r w:rsidR="00B30A74">
        <w:rPr>
          <w:rFonts w:hint="eastAsia"/>
        </w:rPr>
        <w:t>保健食品</w:t>
      </w:r>
      <w:r>
        <w:rPr>
          <w:rFonts w:hint="eastAsia"/>
        </w:rPr>
        <w:t>行业全生命周期、全产业链。具体方案包括数字化转型目标与方向、数字化转型总体架构、业务架构、应用架构、技术架构、数据架构、基础设施、安全体系、治理体系、标准体系等；</w:t>
      </w:r>
    </w:p>
    <w:p w:rsidR="0083458D" w:rsidRDefault="0083458D" w:rsidP="0083458D">
      <w:pPr>
        <w:pStyle w:val="af5"/>
        <w:tabs>
          <w:tab w:val="num" w:pos="851"/>
        </w:tabs>
        <w:spacing w:before="120" w:after="120"/>
      </w:pPr>
      <w:r>
        <w:rPr>
          <w:rFonts w:hint="eastAsia"/>
        </w:rPr>
        <w:t>制定数字化转型实施方案：数字化转型的主要任务和重点项目、实施路径、行动举措及实施保障（如组织、资金、人才、制度等）。</w:t>
      </w:r>
    </w:p>
    <w:p w:rsidR="0083458D" w:rsidRDefault="0083458D" w:rsidP="00EC5823">
      <w:pPr>
        <w:pStyle w:val="affc"/>
        <w:spacing w:before="240" w:after="240"/>
      </w:pPr>
      <w:bookmarkStart w:id="72" w:name="_Toc170154637"/>
      <w:bookmarkStart w:id="73" w:name="_Toc170154741"/>
      <w:bookmarkStart w:id="74" w:name="_Toc170155607"/>
      <w:r>
        <w:rPr>
          <w:rFonts w:hint="eastAsia"/>
        </w:rPr>
        <w:t>资源支持</w:t>
      </w:r>
      <w:bookmarkEnd w:id="72"/>
      <w:bookmarkEnd w:id="73"/>
      <w:bookmarkEnd w:id="74"/>
    </w:p>
    <w:p w:rsidR="0083458D" w:rsidRDefault="0083458D" w:rsidP="00EC5823">
      <w:pPr>
        <w:pStyle w:val="affd"/>
        <w:spacing w:before="120" w:after="120"/>
        <w:ind w:hanging="1277"/>
      </w:pPr>
      <w:bookmarkStart w:id="75" w:name="_Toc170154638"/>
      <w:bookmarkStart w:id="76" w:name="_Toc170154742"/>
      <w:bookmarkStart w:id="77" w:name="_Toc170155608"/>
      <w:r>
        <w:rPr>
          <w:rFonts w:hint="eastAsia"/>
        </w:rPr>
        <w:t>资金投入</w:t>
      </w:r>
      <w:bookmarkEnd w:id="75"/>
      <w:bookmarkEnd w:id="76"/>
      <w:bookmarkEnd w:id="77"/>
    </w:p>
    <w:p w:rsidR="0083458D" w:rsidRDefault="00B30A74" w:rsidP="002C5FC7">
      <w:pPr>
        <w:pStyle w:val="af5"/>
        <w:numPr>
          <w:ilvl w:val="0"/>
          <w:numId w:val="38"/>
        </w:numPr>
        <w:spacing w:before="120" w:after="120"/>
      </w:pPr>
      <w:r>
        <w:rPr>
          <w:rFonts w:hint="eastAsia"/>
        </w:rPr>
        <w:t>保健食品</w:t>
      </w:r>
      <w:r w:rsidR="0083458D">
        <w:rPr>
          <w:rFonts w:hint="eastAsia"/>
        </w:rPr>
        <w:t>企业宜基于新型能力进行资金统筹管理做出制度化安排，明确相关职责、流程和方法等。</w:t>
      </w:r>
    </w:p>
    <w:p w:rsidR="009B584B" w:rsidRPr="006D0E98" w:rsidRDefault="009B584B" w:rsidP="002C5FC7">
      <w:pPr>
        <w:pStyle w:val="af5"/>
        <w:numPr>
          <w:ilvl w:val="0"/>
          <w:numId w:val="38"/>
        </w:numPr>
        <w:spacing w:before="120" w:after="120"/>
      </w:pPr>
      <w:r>
        <w:rPr>
          <w:rFonts w:hint="eastAsia"/>
        </w:rPr>
        <w:t>保健食品企业宜围绕新型能力目标，进行相关资金的统筹安排、优化调整、协同管理和精准核算，确保资金投入的稳定性、持续性，避免投入不足、过度投入等。</w:t>
      </w:r>
    </w:p>
    <w:p w:rsidR="0083458D" w:rsidRDefault="0083458D" w:rsidP="00EC5823">
      <w:pPr>
        <w:pStyle w:val="affd"/>
        <w:spacing w:before="120" w:after="120"/>
        <w:ind w:hanging="1277"/>
      </w:pPr>
      <w:bookmarkStart w:id="78" w:name="_Toc170154639"/>
      <w:bookmarkStart w:id="79" w:name="_Toc170154743"/>
      <w:bookmarkStart w:id="80" w:name="_Toc170155609"/>
      <w:r>
        <w:rPr>
          <w:rFonts w:hint="eastAsia"/>
        </w:rPr>
        <w:t>组织保障</w:t>
      </w:r>
      <w:bookmarkEnd w:id="78"/>
      <w:bookmarkEnd w:id="79"/>
      <w:bookmarkEnd w:id="80"/>
    </w:p>
    <w:p w:rsidR="0083458D" w:rsidRPr="003F5937" w:rsidRDefault="00B30A74" w:rsidP="002C5FC7">
      <w:pPr>
        <w:pStyle w:val="af5"/>
        <w:numPr>
          <w:ilvl w:val="0"/>
          <w:numId w:val="39"/>
        </w:numPr>
        <w:spacing w:before="120" w:after="120"/>
      </w:pPr>
      <w:r>
        <w:rPr>
          <w:rFonts w:hint="eastAsia"/>
        </w:rPr>
        <w:t>保健食品</w:t>
      </w:r>
      <w:r w:rsidR="0083458D">
        <w:rPr>
          <w:rFonts w:hint="eastAsia"/>
        </w:rPr>
        <w:t>企业宜成立数字化转型的领导小组、管理小组，设立专职管理部门，明确组织分工、职责，统筹规划、决策和建设。</w:t>
      </w:r>
    </w:p>
    <w:p w:rsidR="0083458D" w:rsidRDefault="0083458D" w:rsidP="002C5FC7">
      <w:pPr>
        <w:pStyle w:val="af5"/>
        <w:numPr>
          <w:ilvl w:val="0"/>
          <w:numId w:val="39"/>
        </w:numPr>
        <w:spacing w:before="120" w:after="120"/>
      </w:pPr>
      <w:r>
        <w:rPr>
          <w:rFonts w:hint="eastAsia"/>
        </w:rPr>
        <w:t>采取有效措施，持续提升企业全员创新发展和打造新型能力的意识。</w:t>
      </w:r>
    </w:p>
    <w:p w:rsidR="0083458D" w:rsidRDefault="0083458D" w:rsidP="002C5FC7">
      <w:pPr>
        <w:pStyle w:val="af5"/>
        <w:numPr>
          <w:ilvl w:val="0"/>
          <w:numId w:val="39"/>
        </w:numPr>
        <w:spacing w:before="120" w:after="120"/>
      </w:pPr>
      <w:r>
        <w:rPr>
          <w:rFonts w:hint="eastAsia"/>
        </w:rPr>
        <w:t>按照完善业务流程职责、部门职责和岗位职责协同机制的新要求，进行岗位职能设计。</w:t>
      </w:r>
    </w:p>
    <w:p w:rsidR="0083458D" w:rsidRDefault="00B30A74" w:rsidP="002C5FC7">
      <w:pPr>
        <w:pStyle w:val="af5"/>
        <w:numPr>
          <w:ilvl w:val="0"/>
          <w:numId w:val="39"/>
        </w:numPr>
        <w:spacing w:before="120" w:after="120"/>
      </w:pPr>
      <w:r>
        <w:rPr>
          <w:rFonts w:hint="eastAsia"/>
        </w:rPr>
        <w:t>保健食品</w:t>
      </w:r>
      <w:r w:rsidR="0083458D">
        <w:rPr>
          <w:rFonts w:hint="eastAsia"/>
        </w:rPr>
        <w:t>企业宜依据打造新型能力的动态要求，及时调整相关岗位职责并明确技能要求。</w:t>
      </w:r>
    </w:p>
    <w:p w:rsidR="0083458D" w:rsidRDefault="00B30A74" w:rsidP="002C5FC7">
      <w:pPr>
        <w:pStyle w:val="af5"/>
        <w:numPr>
          <w:ilvl w:val="0"/>
          <w:numId w:val="39"/>
        </w:numPr>
        <w:spacing w:before="120" w:after="120"/>
      </w:pPr>
      <w:r>
        <w:rPr>
          <w:rFonts w:hint="eastAsia"/>
        </w:rPr>
        <w:t>保健食品</w:t>
      </w:r>
      <w:r w:rsidR="0083458D">
        <w:rPr>
          <w:rFonts w:hint="eastAsia"/>
        </w:rPr>
        <w:t>企业宜开展数字化转型相关的教育和培训，搭建学习和交流平台，采取交叉培养、轮岗锻炼等措施，持续提升相关人员岗位技能，培养复合型人才。</w:t>
      </w:r>
    </w:p>
    <w:p w:rsidR="0083458D" w:rsidRDefault="00B30A74" w:rsidP="002C5FC7">
      <w:pPr>
        <w:pStyle w:val="af5"/>
        <w:numPr>
          <w:ilvl w:val="0"/>
          <w:numId w:val="39"/>
        </w:numPr>
        <w:spacing w:before="120" w:after="120"/>
      </w:pPr>
      <w:r>
        <w:rPr>
          <w:rFonts w:hint="eastAsia"/>
        </w:rPr>
        <w:t>保健食品</w:t>
      </w:r>
      <w:r w:rsidR="0083458D">
        <w:rPr>
          <w:rFonts w:hint="eastAsia"/>
        </w:rPr>
        <w:t>企业宜将新型能力打造过程中相关人员的绩效纳入绩效考核体系，并逐步探索形成以新型能力为主线的绩效考核、薪酬和晋升制度。</w:t>
      </w:r>
    </w:p>
    <w:p w:rsidR="0083458D" w:rsidRPr="009D4468" w:rsidRDefault="0083458D" w:rsidP="00EC5823">
      <w:pPr>
        <w:pStyle w:val="affd"/>
        <w:spacing w:before="120" w:after="120"/>
        <w:ind w:hanging="1277"/>
      </w:pPr>
      <w:bookmarkStart w:id="81" w:name="_Toc170154640"/>
      <w:bookmarkStart w:id="82" w:name="_Toc170154744"/>
      <w:bookmarkStart w:id="83" w:name="_Toc170155610"/>
      <w:r>
        <w:rPr>
          <w:rFonts w:hint="eastAsia"/>
        </w:rPr>
        <w:t>制度保障</w:t>
      </w:r>
      <w:bookmarkEnd w:id="81"/>
      <w:bookmarkEnd w:id="82"/>
      <w:bookmarkEnd w:id="83"/>
    </w:p>
    <w:p w:rsidR="0083458D" w:rsidRDefault="0083458D" w:rsidP="002C5FC7">
      <w:pPr>
        <w:pStyle w:val="af5"/>
        <w:numPr>
          <w:ilvl w:val="0"/>
          <w:numId w:val="40"/>
        </w:numPr>
        <w:spacing w:before="120" w:after="120"/>
      </w:pPr>
      <w:r>
        <w:rPr>
          <w:rFonts w:hint="eastAsia"/>
        </w:rPr>
        <w:t>根据数字化转型的目标、定位及策略，制定体系化的数字化管理制度、规范和执行细则等。</w:t>
      </w:r>
    </w:p>
    <w:p w:rsidR="0083458D" w:rsidRDefault="0083458D" w:rsidP="002C5FC7">
      <w:pPr>
        <w:pStyle w:val="af5"/>
        <w:numPr>
          <w:ilvl w:val="0"/>
          <w:numId w:val="40"/>
        </w:numPr>
        <w:spacing w:before="120" w:after="120"/>
      </w:pPr>
      <w:r>
        <w:rPr>
          <w:rFonts w:hint="eastAsia"/>
        </w:rPr>
        <w:lastRenderedPageBreak/>
        <w:t>数字化转型管理制度是企业管理制度的重要组织部分，对企业各单位数字化转型工作进行统一管理。</w:t>
      </w:r>
    </w:p>
    <w:p w:rsidR="0083458D" w:rsidRDefault="0083458D" w:rsidP="002C5FC7">
      <w:pPr>
        <w:pStyle w:val="af5"/>
        <w:numPr>
          <w:ilvl w:val="0"/>
          <w:numId w:val="40"/>
        </w:numPr>
        <w:spacing w:before="120" w:after="120"/>
      </w:pPr>
      <w:r>
        <w:rPr>
          <w:rFonts w:hint="eastAsia"/>
        </w:rPr>
        <w:t>企业各单位依据统一制度开展数字化转型的规划、标准、规范、投资和建设，实现规划、标准、架构等统一管理，有序开展数字化转型工作，推进数字化转型战略落地。</w:t>
      </w:r>
    </w:p>
    <w:p w:rsidR="0083458D" w:rsidRDefault="0083458D" w:rsidP="00EC5823">
      <w:pPr>
        <w:pStyle w:val="affd"/>
        <w:spacing w:before="120" w:after="120"/>
        <w:ind w:hanging="1277"/>
      </w:pPr>
      <w:bookmarkStart w:id="84" w:name="_Toc170154641"/>
      <w:bookmarkStart w:id="85" w:name="_Toc170154745"/>
      <w:bookmarkStart w:id="86" w:name="_Toc170155611"/>
      <w:r>
        <w:rPr>
          <w:rFonts w:hint="eastAsia"/>
        </w:rPr>
        <w:t>设备设施</w:t>
      </w:r>
      <w:bookmarkEnd w:id="84"/>
      <w:bookmarkEnd w:id="85"/>
      <w:bookmarkEnd w:id="86"/>
    </w:p>
    <w:p w:rsidR="0083458D" w:rsidRDefault="0083458D" w:rsidP="002C5FC7">
      <w:pPr>
        <w:pStyle w:val="af5"/>
        <w:numPr>
          <w:ilvl w:val="0"/>
          <w:numId w:val="41"/>
        </w:numPr>
        <w:spacing w:before="120" w:after="120"/>
      </w:pPr>
      <w:r>
        <w:rPr>
          <w:rFonts w:hint="eastAsia"/>
        </w:rPr>
        <w:t>围绕新型能力的建设</w:t>
      </w:r>
      <w:r w:rsidRPr="008A406A">
        <w:rPr>
          <w:rFonts w:hint="eastAsia"/>
        </w:rPr>
        <w:t>，</w:t>
      </w:r>
      <w:r>
        <w:rPr>
          <w:rFonts w:hint="eastAsia"/>
        </w:rPr>
        <w:t>宜对设备设施的提供、维护和升级改造做出制度化安排，明确相关职责、流程和方法等。</w:t>
      </w:r>
    </w:p>
    <w:p w:rsidR="0083458D" w:rsidRDefault="0083458D" w:rsidP="002C5FC7">
      <w:pPr>
        <w:pStyle w:val="af5"/>
        <w:numPr>
          <w:ilvl w:val="0"/>
          <w:numId w:val="41"/>
        </w:numPr>
        <w:spacing w:before="120" w:after="120"/>
      </w:pPr>
      <w:r>
        <w:rPr>
          <w:rFonts w:hint="eastAsia"/>
        </w:rPr>
        <w:t>依据新型能力建设要求，宜对设备设施配置、改造、升级、更新换代等方面进行统筹部署，并持续评价设备设施满足新型能力建设要求的适应性、充分性和有效性。</w:t>
      </w:r>
    </w:p>
    <w:p w:rsidR="0083458D" w:rsidRDefault="0083458D" w:rsidP="002C5FC7">
      <w:pPr>
        <w:pStyle w:val="af5"/>
        <w:numPr>
          <w:ilvl w:val="0"/>
          <w:numId w:val="41"/>
        </w:numPr>
        <w:spacing w:before="120" w:after="120"/>
      </w:pPr>
      <w:r>
        <w:rPr>
          <w:rFonts w:hint="eastAsia"/>
        </w:rPr>
        <w:t>宜逐步提高设备设施的自动化、数字化、网络化、智能化水平，加强现场数据采集、传递、协同共享和开发利用，不断提升设备设施的集成应用水平，确保相关新型能力的同步提升。</w:t>
      </w:r>
    </w:p>
    <w:p w:rsidR="0083458D" w:rsidRDefault="0083458D" w:rsidP="002C5FC7">
      <w:pPr>
        <w:pStyle w:val="af5"/>
        <w:numPr>
          <w:ilvl w:val="0"/>
          <w:numId w:val="41"/>
        </w:numPr>
        <w:spacing w:before="120" w:after="120"/>
      </w:pPr>
      <w:r>
        <w:rPr>
          <w:rFonts w:hint="eastAsia"/>
        </w:rPr>
        <w:t>确保在设备设施的购置、调试、使用、维护和报废等生命周期全过程中的安全可控。</w:t>
      </w:r>
    </w:p>
    <w:p w:rsidR="0083458D" w:rsidRDefault="0083458D" w:rsidP="00EC5823">
      <w:pPr>
        <w:pStyle w:val="affd"/>
        <w:spacing w:before="120" w:after="120"/>
        <w:ind w:hanging="1277"/>
      </w:pPr>
      <w:bookmarkStart w:id="87" w:name="_Toc170154642"/>
      <w:bookmarkStart w:id="88" w:name="_Toc170154746"/>
      <w:bookmarkStart w:id="89" w:name="_Toc170155612"/>
      <w:r>
        <w:rPr>
          <w:rFonts w:hint="eastAsia"/>
        </w:rPr>
        <w:t>安全保障</w:t>
      </w:r>
      <w:bookmarkEnd w:id="87"/>
      <w:bookmarkEnd w:id="88"/>
      <w:bookmarkEnd w:id="89"/>
    </w:p>
    <w:p w:rsidR="0083458D" w:rsidRDefault="0083458D" w:rsidP="00944598">
      <w:pPr>
        <w:pStyle w:val="affffffffa"/>
        <w:numPr>
          <w:ilvl w:val="0"/>
          <w:numId w:val="0"/>
        </w:numPr>
      </w:pPr>
      <w:r>
        <w:rPr>
          <w:rFonts w:hint="eastAsia"/>
        </w:rPr>
        <w:t>保障数据、网络及个人信息安全，并满足国家法律法规及信息安全技术相关标准要求，</w:t>
      </w:r>
      <w:bookmarkStart w:id="90" w:name="_Hlk164679846"/>
      <w:r>
        <w:rPr>
          <w:rFonts w:hint="eastAsia"/>
        </w:rPr>
        <w:t>包括但不限于：</w:t>
      </w:r>
    </w:p>
    <w:bookmarkEnd w:id="90"/>
    <w:p w:rsidR="0083458D" w:rsidRDefault="0083458D" w:rsidP="002C5FC7">
      <w:pPr>
        <w:pStyle w:val="af5"/>
        <w:numPr>
          <w:ilvl w:val="0"/>
          <w:numId w:val="37"/>
        </w:numPr>
        <w:tabs>
          <w:tab w:val="num" w:pos="851"/>
        </w:tabs>
        <w:spacing w:before="120" w:after="120"/>
      </w:pPr>
      <w:r>
        <w:rPr>
          <w:rFonts w:hint="eastAsia"/>
        </w:rPr>
        <w:t>数据安全防护：利用身份鉴别、访问控制、数据加密、国密算法、备份恢复机制等多种措施保障数据的机密性、可用性、完整性等，并满足GB/T 37988中数据安全的成熟度要求；</w:t>
      </w:r>
    </w:p>
    <w:p w:rsidR="0083458D" w:rsidRDefault="0083458D" w:rsidP="0083458D">
      <w:pPr>
        <w:pStyle w:val="af5"/>
        <w:tabs>
          <w:tab w:val="num" w:pos="851"/>
        </w:tabs>
        <w:spacing w:before="120" w:after="120"/>
      </w:pPr>
      <w:r>
        <w:rPr>
          <w:rFonts w:hint="eastAsia"/>
        </w:rPr>
        <w:t>网络安全防护：利用网络拓扑结构、访问控制、安全审计、恶意代码防范、网络设备防护、网络安全监测等措施保障网络安全，并满足GB/T 22239中相关网络等级保护要求；</w:t>
      </w:r>
    </w:p>
    <w:p w:rsidR="0083458D" w:rsidRDefault="0083458D" w:rsidP="0083458D">
      <w:pPr>
        <w:pStyle w:val="af5"/>
        <w:tabs>
          <w:tab w:val="num" w:pos="851"/>
        </w:tabs>
        <w:spacing w:before="120" w:after="120"/>
      </w:pPr>
      <w:r>
        <w:rPr>
          <w:rFonts w:hint="eastAsia"/>
        </w:rPr>
        <w:t>个人信息保护：针对</w:t>
      </w:r>
      <w:r w:rsidR="00B30A74">
        <w:rPr>
          <w:rFonts w:hint="eastAsia"/>
        </w:rPr>
        <w:t>保健食品</w:t>
      </w:r>
      <w:r>
        <w:rPr>
          <w:rFonts w:hint="eastAsia"/>
        </w:rPr>
        <w:t>企业客户数据、人力资源数据等经营管理数据，按照GB/T 35273进行个人信息保护。</w:t>
      </w:r>
    </w:p>
    <w:p w:rsidR="0083458D" w:rsidRDefault="0083458D" w:rsidP="00944598">
      <w:pPr>
        <w:pStyle w:val="affffffffa"/>
        <w:numPr>
          <w:ilvl w:val="0"/>
          <w:numId w:val="0"/>
        </w:numPr>
      </w:pPr>
      <w:r>
        <w:rPr>
          <w:rFonts w:hint="eastAsia"/>
        </w:rPr>
        <w:t>从基础设施、数据和技术等方面提供数字化转型的资源支持，以及从资金、风险控制、安全等方面提供数字化转型的保障支持。</w:t>
      </w:r>
    </w:p>
    <w:p w:rsidR="00586DE6" w:rsidRDefault="00586DE6" w:rsidP="00586DE6">
      <w:pPr>
        <w:pStyle w:val="affc"/>
        <w:spacing w:before="240" w:after="240"/>
      </w:pPr>
      <w:bookmarkStart w:id="91" w:name="_Toc31138"/>
      <w:bookmarkStart w:id="92" w:name="_Toc32720"/>
      <w:bookmarkStart w:id="93" w:name="_Toc170311611"/>
      <w:bookmarkStart w:id="94" w:name="_Toc2712"/>
      <w:bookmarkStart w:id="95" w:name="_Toc12975"/>
      <w:bookmarkStart w:id="96" w:name="_Toc170311660"/>
      <w:r>
        <w:rPr>
          <w:rFonts w:hint="eastAsia"/>
        </w:rPr>
        <w:t>典型应用场景管理要求</w:t>
      </w:r>
      <w:bookmarkEnd w:id="91"/>
      <w:bookmarkEnd w:id="92"/>
      <w:bookmarkEnd w:id="93"/>
      <w:bookmarkEnd w:id="94"/>
      <w:bookmarkEnd w:id="95"/>
      <w:bookmarkEnd w:id="96"/>
    </w:p>
    <w:p w:rsidR="00586DE6" w:rsidRDefault="00586DE6" w:rsidP="00944598">
      <w:pPr>
        <w:pStyle w:val="affd"/>
        <w:spacing w:before="120" w:after="120"/>
        <w:ind w:left="0"/>
      </w:pPr>
      <w:r>
        <w:rPr>
          <w:rFonts w:hint="eastAsia"/>
        </w:rPr>
        <w:t>工艺设计</w:t>
      </w:r>
    </w:p>
    <w:p w:rsidR="00586DE6" w:rsidRDefault="00586DE6" w:rsidP="002C5FC7">
      <w:pPr>
        <w:pStyle w:val="affffffffa"/>
        <w:numPr>
          <w:ilvl w:val="0"/>
          <w:numId w:val="42"/>
        </w:numPr>
        <w:spacing w:after="120"/>
      </w:pPr>
      <w:r>
        <w:rPr>
          <w:rFonts w:hint="eastAsia"/>
        </w:rPr>
        <w:t>宜应用计算机三维建模技术，建立</w:t>
      </w:r>
      <w:r w:rsidR="00E07D55">
        <w:rPr>
          <w:rFonts w:hint="eastAsia"/>
        </w:rPr>
        <w:t>制粒、压片、包衣等</w:t>
      </w:r>
      <w:r>
        <w:rPr>
          <w:rFonts w:hint="eastAsia"/>
        </w:rPr>
        <w:t>工艺流程及布局数字化模型，实现工艺设计与生产流程全局优化。</w:t>
      </w:r>
    </w:p>
    <w:p w:rsidR="00586DE6" w:rsidRDefault="00586DE6" w:rsidP="002C5FC7">
      <w:pPr>
        <w:pStyle w:val="affffffffa"/>
        <w:numPr>
          <w:ilvl w:val="0"/>
          <w:numId w:val="42"/>
        </w:numPr>
        <w:spacing w:after="120"/>
      </w:pPr>
      <w:r>
        <w:rPr>
          <w:rFonts w:hint="eastAsia"/>
        </w:rPr>
        <w:t>宜结合物性表征、指纹/</w:t>
      </w:r>
      <w:r w:rsidR="00E07D55">
        <w:rPr>
          <w:rFonts w:hint="eastAsia"/>
        </w:rPr>
        <w:t>特征图谱、工艺机理分析等技术，建立保健食品、提取物等</w:t>
      </w:r>
      <w:r>
        <w:rPr>
          <w:rFonts w:hint="eastAsia"/>
        </w:rPr>
        <w:t>制造工艺流程、参数、资源等关键要素的知识库，并能以结构化的形式展现、查询与更新。</w:t>
      </w:r>
    </w:p>
    <w:p w:rsidR="00586DE6" w:rsidRDefault="00586DE6" w:rsidP="002C5FC7">
      <w:pPr>
        <w:pStyle w:val="affffffffa"/>
        <w:numPr>
          <w:ilvl w:val="0"/>
          <w:numId w:val="42"/>
        </w:numPr>
        <w:spacing w:after="120"/>
      </w:pPr>
      <w:r>
        <w:rPr>
          <w:rFonts w:hint="eastAsia"/>
        </w:rPr>
        <w:t>宜基于典型产品或特征建立工艺模板，实现关键工艺设计信息的共享，工艺设计与生产数据、质量数据关联。</w:t>
      </w:r>
    </w:p>
    <w:p w:rsidR="00586DE6" w:rsidRDefault="00586DE6" w:rsidP="00E07D55">
      <w:pPr>
        <w:pStyle w:val="affd"/>
        <w:spacing w:before="120" w:after="120"/>
        <w:ind w:left="0"/>
      </w:pPr>
      <w:r>
        <w:rPr>
          <w:rFonts w:hint="eastAsia"/>
        </w:rPr>
        <w:t>生产计划调度</w:t>
      </w:r>
    </w:p>
    <w:p w:rsidR="00586DE6" w:rsidRDefault="00586DE6" w:rsidP="002C5FC7">
      <w:pPr>
        <w:pStyle w:val="affffffffa"/>
        <w:numPr>
          <w:ilvl w:val="0"/>
          <w:numId w:val="43"/>
        </w:numPr>
        <w:spacing w:after="120"/>
      </w:pPr>
      <w:r>
        <w:rPr>
          <w:rFonts w:hint="eastAsia"/>
        </w:rPr>
        <w:t>宜通过构建ERP系统，基于销售订单和销售预测等信息，编制主生产计划；宜通过构建MES系统，根据生产计划，结合产品制造工艺制定数字化工序计划。</w:t>
      </w:r>
    </w:p>
    <w:p w:rsidR="00586DE6" w:rsidRDefault="00586DE6" w:rsidP="002C5FC7">
      <w:pPr>
        <w:pStyle w:val="affffffffa"/>
        <w:numPr>
          <w:ilvl w:val="0"/>
          <w:numId w:val="43"/>
        </w:numPr>
        <w:spacing w:after="120"/>
      </w:pPr>
      <w:r>
        <w:rPr>
          <w:rFonts w:hint="eastAsia"/>
        </w:rPr>
        <w:t>应考虑车间设备、人员、物料等资源的可用性，基于企业的安全库存、采购提前期、生产提前期等制约要素实现物料需求计划的运算，基于有限资源进行排产。</w:t>
      </w:r>
    </w:p>
    <w:p w:rsidR="00586DE6" w:rsidRDefault="00586DE6" w:rsidP="002C5FC7">
      <w:pPr>
        <w:pStyle w:val="affffffffa"/>
        <w:numPr>
          <w:ilvl w:val="0"/>
          <w:numId w:val="43"/>
        </w:numPr>
        <w:spacing w:after="120"/>
      </w:pPr>
      <w:r>
        <w:rPr>
          <w:rFonts w:hint="eastAsia"/>
        </w:rPr>
        <w:t>应实时监控各生产环节的投入和产出进度，实现异常情况（如：生产延时、产能不足）的自动预警，根据订单、工况、产能平衡等生产过程状态实现自动或人工调整生产计划，优化资源配置，满足生产柔性化需求。</w:t>
      </w:r>
    </w:p>
    <w:p w:rsidR="00586DE6" w:rsidRDefault="00586DE6" w:rsidP="00E07D55">
      <w:pPr>
        <w:pStyle w:val="affd"/>
        <w:spacing w:before="120" w:after="120"/>
        <w:ind w:left="0"/>
      </w:pPr>
      <w:r>
        <w:rPr>
          <w:rFonts w:hint="eastAsia"/>
        </w:rPr>
        <w:t>仓储物流</w:t>
      </w:r>
    </w:p>
    <w:p w:rsidR="00586DE6" w:rsidRDefault="00E07D55" w:rsidP="002C5FC7">
      <w:pPr>
        <w:pStyle w:val="affffffffa"/>
        <w:numPr>
          <w:ilvl w:val="0"/>
          <w:numId w:val="44"/>
        </w:numPr>
        <w:spacing w:after="120"/>
      </w:pPr>
      <w:r>
        <w:rPr>
          <w:rFonts w:hint="eastAsia"/>
        </w:rPr>
        <w:lastRenderedPageBreak/>
        <w:t>保健食品生产的原辅料、包装材料</w:t>
      </w:r>
      <w:r w:rsidR="00586DE6">
        <w:rPr>
          <w:rFonts w:hint="eastAsia"/>
        </w:rPr>
        <w:t>等所有物料、工具、设备、库位等宜进行唯一编码，出入库采用条码、二维码等识别技术与设施，实现物料的全生命周期管理。</w:t>
      </w:r>
    </w:p>
    <w:p w:rsidR="00586DE6" w:rsidRDefault="00586DE6" w:rsidP="002C5FC7">
      <w:pPr>
        <w:pStyle w:val="affffffffa"/>
        <w:numPr>
          <w:ilvl w:val="0"/>
          <w:numId w:val="44"/>
        </w:numPr>
        <w:spacing w:after="120"/>
      </w:pPr>
      <w:r>
        <w:rPr>
          <w:rFonts w:hint="eastAsia"/>
        </w:rPr>
        <w:t>应通过仓储管理系统(WMS)的建设，对原药材、辅料、包材、成品等进行精确的库存管理。</w:t>
      </w:r>
    </w:p>
    <w:p w:rsidR="00586DE6" w:rsidRDefault="00586DE6" w:rsidP="002C5FC7">
      <w:pPr>
        <w:pStyle w:val="affffffffa"/>
        <w:numPr>
          <w:ilvl w:val="0"/>
          <w:numId w:val="44"/>
        </w:numPr>
        <w:spacing w:after="120"/>
      </w:pPr>
      <w:r>
        <w:rPr>
          <w:rFonts w:hint="eastAsia"/>
        </w:rPr>
        <w:t>应通过制造执行系统(MES)的建设，对车间原辅料、包材、半成品，以及料仓、托盘等进行精确的库存管理。</w:t>
      </w:r>
    </w:p>
    <w:p w:rsidR="00586DE6" w:rsidRDefault="00586DE6" w:rsidP="002C5FC7">
      <w:pPr>
        <w:pStyle w:val="affffffffa"/>
        <w:numPr>
          <w:ilvl w:val="0"/>
          <w:numId w:val="44"/>
        </w:numPr>
        <w:spacing w:after="120"/>
      </w:pPr>
      <w:r>
        <w:rPr>
          <w:rFonts w:hint="eastAsia"/>
        </w:rPr>
        <w:t>宜通过集成智能仓储(储运)装备，建设仓储管理系统(WMS)、制造执行系统(MES)，应用条码、射频识别、智能传感等技术，完成物料自动入库(进厂)、盘库和出库(出厂)。基于生产计划制定配送计划，如：基于生产单元物料消耗情况，采用自动化物流设备（自动导向车Automated Guided Vehicle（AGV）、桁车、手持终端、自动化控制系统等）和信息系统集成，完成物流作业任务，实现精准配送。</w:t>
      </w:r>
    </w:p>
    <w:p w:rsidR="00586DE6" w:rsidRDefault="00586DE6" w:rsidP="008621F8">
      <w:pPr>
        <w:pStyle w:val="affd"/>
        <w:spacing w:before="120" w:after="120"/>
        <w:ind w:left="0"/>
      </w:pPr>
      <w:r>
        <w:rPr>
          <w:rFonts w:hint="eastAsia"/>
        </w:rPr>
        <w:t>生产过程控制</w:t>
      </w:r>
    </w:p>
    <w:p w:rsidR="00586DE6" w:rsidRDefault="00586DE6" w:rsidP="002C5FC7">
      <w:pPr>
        <w:pStyle w:val="affffffffa"/>
        <w:numPr>
          <w:ilvl w:val="0"/>
          <w:numId w:val="45"/>
        </w:numPr>
        <w:spacing w:after="120"/>
      </w:pPr>
      <w:r>
        <w:rPr>
          <w:rFonts w:hint="eastAsia"/>
        </w:rPr>
        <w:t>宜应用自动化、数字化、智能化的生产装备或生产线，建立车间级工业通信网络，进行系统、装备、零部件及人员之间的信息互联互通和有效集成。</w:t>
      </w:r>
    </w:p>
    <w:p w:rsidR="00586DE6" w:rsidRDefault="008621F8" w:rsidP="002C5FC7">
      <w:pPr>
        <w:pStyle w:val="affffffffa"/>
        <w:numPr>
          <w:ilvl w:val="0"/>
          <w:numId w:val="45"/>
        </w:numPr>
        <w:spacing w:after="120"/>
      </w:pPr>
      <w:r>
        <w:rPr>
          <w:rFonts w:hint="eastAsia"/>
        </w:rPr>
        <w:t>应建设保健食品</w:t>
      </w:r>
      <w:r w:rsidR="00586DE6">
        <w:rPr>
          <w:rFonts w:hint="eastAsia"/>
        </w:rPr>
        <w:t>生产过程自动化控制系统，依托过程分析技术（PAT），融合工艺机理分析、实时优化和预测控制等技术，实现</w:t>
      </w:r>
      <w:r>
        <w:rPr>
          <w:rFonts w:hint="eastAsia"/>
        </w:rPr>
        <w:t>领料、称量、压片、包衣</w:t>
      </w:r>
      <w:r w:rsidR="00586DE6">
        <w:rPr>
          <w:rFonts w:hint="eastAsia"/>
        </w:rPr>
        <w:t>等全流程自动化控制。</w:t>
      </w:r>
    </w:p>
    <w:p w:rsidR="00586DE6" w:rsidRDefault="00586DE6" w:rsidP="002C5FC7">
      <w:pPr>
        <w:pStyle w:val="affffffffa"/>
        <w:numPr>
          <w:ilvl w:val="0"/>
          <w:numId w:val="45"/>
        </w:numPr>
        <w:spacing w:after="120"/>
      </w:pPr>
      <w:r>
        <w:rPr>
          <w:rFonts w:hint="eastAsia"/>
        </w:rPr>
        <w:t>运用信息技术、工业互联网技术手段，实现生产过程关键物料、设备、人员等的数据采集，并上传到信息系统。</w:t>
      </w:r>
    </w:p>
    <w:p w:rsidR="00586DE6" w:rsidRDefault="00586DE6" w:rsidP="002C5FC7">
      <w:pPr>
        <w:pStyle w:val="affffffffa"/>
        <w:numPr>
          <w:ilvl w:val="0"/>
          <w:numId w:val="45"/>
        </w:numPr>
        <w:spacing w:after="120"/>
      </w:pPr>
      <w:r>
        <w:rPr>
          <w:rFonts w:hint="eastAsia"/>
        </w:rPr>
        <w:t>应构建制造执行系统(MES)，根据生产作业计划，自动将生产指令、生产程序或运行参数下发到生产工序和自动化、数字化、智能化的生产装备或生产线，实现设备系统和信息管理系统联动，物料转运过程与设备系统联动；应按标准操作规程设计生产管理流程、以及偏差处理流程，采集并记录关键工艺、生产和质量数据，实现生产工艺规程的精准执行、批次追溯和无纸化数字化生产作业管理。</w:t>
      </w:r>
    </w:p>
    <w:p w:rsidR="00586DE6" w:rsidRDefault="00586DE6" w:rsidP="002C5FC7">
      <w:pPr>
        <w:pStyle w:val="affffffffa"/>
        <w:numPr>
          <w:ilvl w:val="0"/>
          <w:numId w:val="45"/>
        </w:numPr>
        <w:spacing w:after="120"/>
      </w:pPr>
      <w:r>
        <w:rPr>
          <w:rFonts w:hint="eastAsia"/>
        </w:rPr>
        <w:t>宜应用人机界面、工业平板等系统操作终端，实现生产过程无纸化；人工操作工位应建立防差错系统。</w:t>
      </w:r>
    </w:p>
    <w:p w:rsidR="00586DE6" w:rsidRDefault="00586DE6" w:rsidP="002C5FC7">
      <w:pPr>
        <w:pStyle w:val="affffffffa"/>
        <w:numPr>
          <w:ilvl w:val="0"/>
          <w:numId w:val="45"/>
        </w:numPr>
        <w:spacing w:after="120"/>
      </w:pPr>
      <w:r>
        <w:rPr>
          <w:rFonts w:hint="eastAsia"/>
        </w:rPr>
        <w:t>宜开展基于数据驱动的人、机、料等精确管控和精益化管理。集成大数据、运筹优化、专家系统等技术，实现人力、设备、物料等制造资源的动态配置；构建模型实现生产作业数据的在线检测、分析，实现对生产作业计划、生产资源、质量信息等关键数据的动态监测。</w:t>
      </w:r>
    </w:p>
    <w:p w:rsidR="00586DE6" w:rsidRDefault="00586DE6" w:rsidP="008621F8">
      <w:pPr>
        <w:pStyle w:val="affd"/>
        <w:spacing w:before="120" w:after="120"/>
        <w:ind w:left="0"/>
      </w:pPr>
      <w:r>
        <w:rPr>
          <w:rFonts w:hint="eastAsia"/>
        </w:rPr>
        <w:t>质量管控</w:t>
      </w:r>
    </w:p>
    <w:p w:rsidR="00586DE6" w:rsidRDefault="008621F8" w:rsidP="002C5FC7">
      <w:pPr>
        <w:pStyle w:val="affffffffa"/>
        <w:numPr>
          <w:ilvl w:val="0"/>
          <w:numId w:val="46"/>
        </w:numPr>
        <w:spacing w:after="120"/>
      </w:pPr>
      <w:r>
        <w:rPr>
          <w:rFonts w:hint="eastAsia"/>
        </w:rPr>
        <w:t>总混、制粒、压片、包衣、压丸、灌装</w:t>
      </w:r>
      <w:r w:rsidR="00586DE6">
        <w:rPr>
          <w:rFonts w:hint="eastAsia"/>
        </w:rPr>
        <w:t>等生产工序，宜使用在线的PAT技术，实现生产过程精细化过程质量管控。</w:t>
      </w:r>
    </w:p>
    <w:p w:rsidR="00586DE6" w:rsidRDefault="00586DE6" w:rsidP="002C5FC7">
      <w:pPr>
        <w:pStyle w:val="affffffffa"/>
        <w:numPr>
          <w:ilvl w:val="0"/>
          <w:numId w:val="46"/>
        </w:numPr>
        <w:spacing w:after="120"/>
      </w:pPr>
      <w:r>
        <w:rPr>
          <w:rFonts w:hint="eastAsia"/>
        </w:rPr>
        <w:t>应利用信息技术、工业互联网技术手段，采集物料、产品、工序、设备质量数据，并上传到信息系统，实现批次质量追溯。</w:t>
      </w:r>
    </w:p>
    <w:p w:rsidR="00586DE6" w:rsidRDefault="00586DE6" w:rsidP="002C5FC7">
      <w:pPr>
        <w:pStyle w:val="affffffffa"/>
        <w:numPr>
          <w:ilvl w:val="0"/>
          <w:numId w:val="46"/>
        </w:numPr>
        <w:spacing w:after="120"/>
      </w:pPr>
      <w:r>
        <w:rPr>
          <w:rFonts w:hint="eastAsia"/>
        </w:rPr>
        <w:t>应构建质量管理系统(QMS)</w:t>
      </w:r>
      <w:r w:rsidR="008621F8">
        <w:rPr>
          <w:rFonts w:hint="eastAsia"/>
        </w:rPr>
        <w:t>，对保健食品</w:t>
      </w:r>
      <w:r>
        <w:rPr>
          <w:rFonts w:hint="eastAsia"/>
        </w:rPr>
        <w:t>生产过程的偏差报警进行质量分析、偏差管理、质量审核，实现工艺、质量的一致性。</w:t>
      </w:r>
    </w:p>
    <w:p w:rsidR="00586DE6" w:rsidRDefault="00586DE6" w:rsidP="002C5FC7">
      <w:pPr>
        <w:pStyle w:val="affffffffa"/>
        <w:numPr>
          <w:ilvl w:val="0"/>
          <w:numId w:val="46"/>
        </w:numPr>
        <w:spacing w:after="120"/>
      </w:pPr>
      <w:r>
        <w:rPr>
          <w:rFonts w:hint="eastAsia"/>
        </w:rPr>
        <w:t>完整的物料追溯：宜通过制造执行系统(MES)的建设，和射频识别（RFID）、红外感应器、定位系统、激光扫描器等信息传感设备，运用工业互联网技术，进行信息交换和通讯，实现物料智能化识别、定位、追踪、监控和管理；跟踪和追踪所有原药材、中间产物、成品，控制物料的生产过程，减少物料损耗，提高生产效率，实现生产过程的可追溯性。</w:t>
      </w:r>
    </w:p>
    <w:p w:rsidR="00586DE6" w:rsidRDefault="00586DE6" w:rsidP="002C5FC7">
      <w:pPr>
        <w:pStyle w:val="affffffffa"/>
        <w:numPr>
          <w:ilvl w:val="0"/>
          <w:numId w:val="46"/>
        </w:numPr>
        <w:spacing w:after="120"/>
      </w:pPr>
      <w:r>
        <w:rPr>
          <w:rFonts w:hint="eastAsia"/>
        </w:rPr>
        <w:t>可</w:t>
      </w:r>
      <w:r w:rsidR="008621F8">
        <w:rPr>
          <w:rFonts w:hint="eastAsia"/>
        </w:rPr>
        <w:t>应用智能检测装备，融合物性、成分分析和机器视觉</w:t>
      </w:r>
      <w:r>
        <w:rPr>
          <w:rFonts w:hint="eastAsia"/>
        </w:rPr>
        <w:t>等技术，开展中间产物、产成品质量的在线检测、分析和结果判定。</w:t>
      </w:r>
    </w:p>
    <w:p w:rsidR="00586DE6" w:rsidRDefault="00586DE6" w:rsidP="002C5FC7">
      <w:pPr>
        <w:pStyle w:val="affffffffa"/>
        <w:numPr>
          <w:ilvl w:val="0"/>
          <w:numId w:val="46"/>
        </w:numPr>
        <w:spacing w:after="120"/>
      </w:pPr>
      <w:r>
        <w:rPr>
          <w:rFonts w:hint="eastAsia"/>
        </w:rPr>
        <w:t>宜通过ERP系统、MES系统、WMS系统、QMS系统、LIMS系统、SCADA系统、DCS/PLC</w:t>
      </w:r>
      <w:r w:rsidR="008621F8">
        <w:rPr>
          <w:rFonts w:hint="eastAsia"/>
        </w:rPr>
        <w:t>系统的无缝集成，提高数据的准确性，形成完整的保健食品</w:t>
      </w:r>
      <w:r>
        <w:rPr>
          <w:rFonts w:hint="eastAsia"/>
        </w:rPr>
        <w:t>生产过程的电子批记录。</w:t>
      </w:r>
    </w:p>
    <w:p w:rsidR="00586DE6" w:rsidRDefault="00586DE6" w:rsidP="002C5FC7">
      <w:pPr>
        <w:pStyle w:val="affffffffa"/>
        <w:numPr>
          <w:ilvl w:val="0"/>
          <w:numId w:val="46"/>
        </w:numPr>
        <w:spacing w:after="120"/>
      </w:pPr>
      <w:r>
        <w:rPr>
          <w:rFonts w:hint="eastAsia"/>
        </w:rPr>
        <w:lastRenderedPageBreak/>
        <w:t>应建立基于工业大数据技术的产品质量回顾性分析，真实反映生产工艺质量现状，最大程度的降低药品生产过程的风险。</w:t>
      </w:r>
    </w:p>
    <w:p w:rsidR="00586DE6" w:rsidRDefault="00586DE6" w:rsidP="002C5FC7">
      <w:pPr>
        <w:pStyle w:val="affffffffa"/>
        <w:numPr>
          <w:ilvl w:val="0"/>
          <w:numId w:val="46"/>
        </w:numPr>
        <w:spacing w:after="120"/>
      </w:pPr>
      <w:r>
        <w:rPr>
          <w:rFonts w:hint="eastAsia"/>
        </w:rPr>
        <w:t>应建立产品质量数据档案，开展质量诊断分析，实现精细化质量管控与产品全生命周期质量追溯与反馈。</w:t>
      </w:r>
    </w:p>
    <w:p w:rsidR="00586DE6" w:rsidRDefault="00586DE6" w:rsidP="008621F8">
      <w:pPr>
        <w:pStyle w:val="affd"/>
        <w:spacing w:before="120" w:after="120"/>
        <w:ind w:left="0"/>
      </w:pPr>
      <w:r>
        <w:rPr>
          <w:rFonts w:hint="eastAsia"/>
        </w:rPr>
        <w:t>设备管控</w:t>
      </w:r>
    </w:p>
    <w:p w:rsidR="00586DE6" w:rsidRDefault="008621F8" w:rsidP="002C5FC7">
      <w:pPr>
        <w:pStyle w:val="affffffffa"/>
        <w:numPr>
          <w:ilvl w:val="0"/>
          <w:numId w:val="47"/>
        </w:numPr>
        <w:spacing w:after="120"/>
      </w:pPr>
      <w:r>
        <w:rPr>
          <w:rFonts w:hint="eastAsia"/>
        </w:rPr>
        <w:t>保健食品</w:t>
      </w:r>
      <w:r w:rsidR="00586DE6">
        <w:rPr>
          <w:rFonts w:hint="eastAsia"/>
        </w:rPr>
        <w:t>生产关键工序应用的数字化设备，应具有数据管理、图形化编程等人机交互功能；标准通讯接口，并支持主流通讯协议；关键工艺设备宜应用计算机视觉、机器臂、在线监测等智能装置。</w:t>
      </w:r>
    </w:p>
    <w:p w:rsidR="00586DE6" w:rsidRDefault="008621F8" w:rsidP="002C5FC7">
      <w:pPr>
        <w:pStyle w:val="affffffffa"/>
        <w:numPr>
          <w:ilvl w:val="0"/>
          <w:numId w:val="47"/>
        </w:numPr>
        <w:spacing w:after="120"/>
      </w:pPr>
      <w:r>
        <w:rPr>
          <w:rFonts w:hint="eastAsia"/>
        </w:rPr>
        <w:t>保健食品</w:t>
      </w:r>
      <w:r w:rsidR="00586DE6">
        <w:rPr>
          <w:rFonts w:hint="eastAsia"/>
        </w:rPr>
        <w:t>生产关键数字化设备可接收生产信息管理系统下发的生产指令、生产程序或运行参数，实现自动化、数字化、智能化的生产装备或生产线和信息管理系统联动，物料转运过程与生产设备的联动。</w:t>
      </w:r>
    </w:p>
    <w:p w:rsidR="00586DE6" w:rsidRDefault="00586DE6" w:rsidP="002C5FC7">
      <w:pPr>
        <w:pStyle w:val="affffffffa"/>
        <w:numPr>
          <w:ilvl w:val="0"/>
          <w:numId w:val="47"/>
        </w:numPr>
        <w:spacing w:after="120"/>
      </w:pPr>
      <w:r>
        <w:rPr>
          <w:rFonts w:hint="eastAsia"/>
        </w:rPr>
        <w:t>应利用信息技术、工业互联网技术手段，在线采集设备关键数据；实现实时监控、故障报警，设备综合效率（OEE）统计，并向生产信息管理系统反馈。</w:t>
      </w:r>
    </w:p>
    <w:p w:rsidR="00586DE6" w:rsidRDefault="00586DE6" w:rsidP="002C5FC7">
      <w:pPr>
        <w:pStyle w:val="affffffffa"/>
        <w:numPr>
          <w:ilvl w:val="0"/>
          <w:numId w:val="47"/>
        </w:numPr>
        <w:spacing w:after="120"/>
      </w:pPr>
      <w:r>
        <w:rPr>
          <w:rFonts w:hint="eastAsia"/>
        </w:rPr>
        <w:t>应采用设备管理系统实现设备健康管理、远程运维、点巡检、预防性维护保养等状态和过程管理。</w:t>
      </w:r>
    </w:p>
    <w:p w:rsidR="00586DE6" w:rsidRDefault="00586DE6" w:rsidP="002C5FC7">
      <w:pPr>
        <w:pStyle w:val="affffffffa"/>
        <w:numPr>
          <w:ilvl w:val="0"/>
          <w:numId w:val="47"/>
        </w:numPr>
        <w:spacing w:after="120"/>
      </w:pPr>
      <w:r>
        <w:rPr>
          <w:rFonts w:hint="eastAsia"/>
        </w:rPr>
        <w:t>宜建立关键工序设备的三维模型库；基于设备运行模型和设备故障知识库，给出预测性维护解决方案；基于设备综合效率的分析，驱动工艺优化和生产作业计划优化。</w:t>
      </w:r>
    </w:p>
    <w:p w:rsidR="00586DE6" w:rsidRDefault="00586DE6" w:rsidP="008621F8">
      <w:pPr>
        <w:pStyle w:val="affd"/>
        <w:spacing w:before="120" w:after="120"/>
        <w:ind w:left="0"/>
      </w:pPr>
      <w:r>
        <w:rPr>
          <w:rFonts w:hint="eastAsia"/>
        </w:rPr>
        <w:t>能源管控</w:t>
      </w:r>
    </w:p>
    <w:p w:rsidR="00586DE6" w:rsidRDefault="00586DE6" w:rsidP="002C5FC7">
      <w:pPr>
        <w:pStyle w:val="affffffffa"/>
        <w:numPr>
          <w:ilvl w:val="0"/>
          <w:numId w:val="48"/>
        </w:numPr>
        <w:spacing w:after="120"/>
      </w:pPr>
      <w:r>
        <w:rPr>
          <w:rFonts w:hint="eastAsia"/>
        </w:rPr>
        <w:t>应建立企业能源管理制度，并根据GB 17167和JJF 1356的规定配备和使用能源计量器具和仪器仪表，完善能源计量管理。能源计量数据应真实、准确和完整，并有可溯源的原始记录。</w:t>
      </w:r>
    </w:p>
    <w:p w:rsidR="00586DE6" w:rsidRDefault="00586DE6" w:rsidP="002C5FC7">
      <w:pPr>
        <w:pStyle w:val="affffffffa"/>
        <w:numPr>
          <w:ilvl w:val="0"/>
          <w:numId w:val="48"/>
        </w:numPr>
        <w:spacing w:after="120"/>
      </w:pPr>
      <w:r>
        <w:rPr>
          <w:rFonts w:hint="eastAsia"/>
        </w:rPr>
        <w:t>应通过能源管理系统，对主要能源介质水、电、气、汽、热、冷的能源消耗进行动态监控和计量。</w:t>
      </w:r>
    </w:p>
    <w:p w:rsidR="00586DE6" w:rsidRDefault="00586DE6" w:rsidP="002C5FC7">
      <w:pPr>
        <w:pStyle w:val="affffffffa"/>
        <w:numPr>
          <w:ilvl w:val="0"/>
          <w:numId w:val="48"/>
        </w:numPr>
        <w:spacing w:after="120"/>
      </w:pPr>
      <w:r>
        <w:rPr>
          <w:rFonts w:hint="eastAsia"/>
        </w:rPr>
        <w:t>宜通过信息技术手段，对重点高能耗设备、系统进行动态运行监控和计量，并基于计量结果进行节能改造。</w:t>
      </w:r>
    </w:p>
    <w:p w:rsidR="00586DE6" w:rsidRDefault="00586DE6" w:rsidP="002C5FC7">
      <w:pPr>
        <w:pStyle w:val="affffffffa"/>
        <w:numPr>
          <w:ilvl w:val="0"/>
          <w:numId w:val="48"/>
        </w:numPr>
        <w:spacing w:after="120"/>
      </w:pPr>
      <w:r>
        <w:rPr>
          <w:rFonts w:hint="eastAsia"/>
        </w:rPr>
        <w:t>可应用能效机理分析、大数据等技术，建立生产全过程物质流和能量流数据库，实现车间能源全流程精细化管理。</w:t>
      </w:r>
    </w:p>
    <w:p w:rsidR="00586DE6" w:rsidRDefault="00586DE6" w:rsidP="008621F8">
      <w:pPr>
        <w:pStyle w:val="affd"/>
        <w:spacing w:before="120" w:after="120"/>
        <w:ind w:left="0"/>
      </w:pPr>
      <w:r>
        <w:rPr>
          <w:rFonts w:hint="eastAsia"/>
        </w:rPr>
        <w:t>安全管控</w:t>
      </w:r>
    </w:p>
    <w:p w:rsidR="00586DE6" w:rsidRDefault="00586DE6" w:rsidP="002C5FC7">
      <w:pPr>
        <w:pStyle w:val="affffffffa"/>
        <w:numPr>
          <w:ilvl w:val="0"/>
          <w:numId w:val="49"/>
        </w:numPr>
        <w:spacing w:after="120"/>
      </w:pPr>
      <w:r>
        <w:rPr>
          <w:rFonts w:hint="eastAsia"/>
        </w:rPr>
        <w:t>应采用先进的安全生产工艺、装备和防护装置，实现安全生产状态监测、风险预警与应急处置。</w:t>
      </w:r>
    </w:p>
    <w:p w:rsidR="00586DE6" w:rsidRDefault="00586DE6" w:rsidP="002C5FC7">
      <w:pPr>
        <w:pStyle w:val="affffffffa"/>
        <w:numPr>
          <w:ilvl w:val="0"/>
          <w:numId w:val="49"/>
        </w:numPr>
        <w:spacing w:after="120"/>
      </w:pPr>
      <w:r>
        <w:rPr>
          <w:rFonts w:hint="eastAsia"/>
        </w:rPr>
        <w:t>应建设危化品管理系统进行审批、监控管理，建立重大危险源管理、作业许可与作业过程管理等。</w:t>
      </w:r>
    </w:p>
    <w:p w:rsidR="00586DE6" w:rsidRDefault="00586DE6" w:rsidP="002C5FC7">
      <w:pPr>
        <w:pStyle w:val="affffffffa"/>
        <w:numPr>
          <w:ilvl w:val="0"/>
          <w:numId w:val="49"/>
        </w:numPr>
        <w:spacing w:after="120"/>
      </w:pPr>
      <w:r>
        <w:rPr>
          <w:rFonts w:hint="eastAsia"/>
        </w:rPr>
        <w:t>应建立联动响应处置机制，实现危化品存量、位置、状态的实时监测、异常预警与全过程管控。</w:t>
      </w:r>
    </w:p>
    <w:p w:rsidR="00586DE6" w:rsidRDefault="00586DE6" w:rsidP="002C5FC7">
      <w:pPr>
        <w:pStyle w:val="affffffffa"/>
        <w:numPr>
          <w:ilvl w:val="0"/>
          <w:numId w:val="49"/>
        </w:numPr>
        <w:spacing w:after="120"/>
      </w:pPr>
      <w:r>
        <w:rPr>
          <w:rFonts w:hint="eastAsia"/>
        </w:rPr>
        <w:t>宜采用跟踪定位、风险源自动识别等先进安全技术，建立安全管控工业机理模型，建设安全风险智能化管控平台，实现高危工艺装置现场无人化。</w:t>
      </w:r>
    </w:p>
    <w:p w:rsidR="00586DE6" w:rsidRDefault="00586DE6" w:rsidP="008621F8">
      <w:pPr>
        <w:pStyle w:val="affd"/>
        <w:spacing w:before="120" w:after="120"/>
        <w:ind w:left="0"/>
      </w:pPr>
      <w:r>
        <w:rPr>
          <w:rFonts w:hint="eastAsia"/>
        </w:rPr>
        <w:t>环保管控</w:t>
      </w:r>
    </w:p>
    <w:p w:rsidR="00586DE6" w:rsidRDefault="00586DE6" w:rsidP="002C5FC7">
      <w:pPr>
        <w:pStyle w:val="affffffffa"/>
        <w:numPr>
          <w:ilvl w:val="0"/>
          <w:numId w:val="50"/>
        </w:numPr>
        <w:spacing w:after="120"/>
      </w:pPr>
      <w:r>
        <w:rPr>
          <w:rFonts w:hint="eastAsia"/>
        </w:rPr>
        <w:t>应根据车间制造特点和需求，建立车间环境（烟感、温度、湿度）与污染源自动监测系统（有害气体、粉尘、危废等）。</w:t>
      </w:r>
    </w:p>
    <w:p w:rsidR="00586DE6" w:rsidRDefault="00586DE6" w:rsidP="002C5FC7">
      <w:pPr>
        <w:pStyle w:val="affffffffa"/>
        <w:numPr>
          <w:ilvl w:val="0"/>
          <w:numId w:val="50"/>
        </w:numPr>
        <w:spacing w:after="120"/>
      </w:pPr>
      <w:r>
        <w:rPr>
          <w:rFonts w:hint="eastAsia"/>
        </w:rPr>
        <w:t>应建立全过程污染物排放数据的实时趋势监控，支持自动报警与分析。</w:t>
      </w:r>
    </w:p>
    <w:p w:rsidR="00586DE6" w:rsidRDefault="00586DE6" w:rsidP="002C5FC7">
      <w:pPr>
        <w:pStyle w:val="affffffffa"/>
        <w:numPr>
          <w:ilvl w:val="0"/>
          <w:numId w:val="50"/>
        </w:numPr>
        <w:spacing w:after="120"/>
      </w:pPr>
      <w:r>
        <w:rPr>
          <w:rFonts w:hint="eastAsia"/>
        </w:rPr>
        <w:t>宜建立资源节约、环境友好的综合资源一体化管理体系，实现中药提取危废的交换利用、能源循环化改造。</w:t>
      </w:r>
    </w:p>
    <w:p w:rsidR="00586DE6" w:rsidRDefault="00586DE6" w:rsidP="008621F8">
      <w:pPr>
        <w:pStyle w:val="affd"/>
        <w:spacing w:before="120" w:after="120"/>
        <w:ind w:left="0"/>
      </w:pPr>
      <w:r>
        <w:rPr>
          <w:rFonts w:hint="eastAsia"/>
        </w:rPr>
        <w:t>客户管理</w:t>
      </w:r>
    </w:p>
    <w:p w:rsidR="00586DE6" w:rsidRDefault="00586DE6" w:rsidP="00586DE6">
      <w:pPr>
        <w:pStyle w:val="affffe"/>
        <w:ind w:firstLine="420"/>
      </w:pPr>
      <w:r>
        <w:rPr>
          <w:rFonts w:hint="eastAsia"/>
        </w:rPr>
        <w:t>宜应用先进的信息技术以及互联网技术，管理企业内部销售体系及面向市场的商业机会，需涉及人员、订单、服务，以及客户跟踪、维护与反馈等信息；应建立与客户互动的信息平台，所采集的交期达成、产品质量、不良反应、售前（后）服务等数据应及时反馈。</w:t>
      </w:r>
    </w:p>
    <w:p w:rsidR="00586DE6" w:rsidRDefault="00586DE6" w:rsidP="008621F8">
      <w:pPr>
        <w:pStyle w:val="affd"/>
        <w:spacing w:before="120" w:after="120"/>
        <w:ind w:left="0"/>
      </w:pPr>
      <w:r>
        <w:rPr>
          <w:rFonts w:hint="eastAsia"/>
        </w:rPr>
        <w:lastRenderedPageBreak/>
        <w:t>供应商管理</w:t>
      </w:r>
    </w:p>
    <w:p w:rsidR="00586DE6" w:rsidRDefault="00586DE6" w:rsidP="002C5FC7">
      <w:pPr>
        <w:pStyle w:val="affffffffa"/>
        <w:numPr>
          <w:ilvl w:val="0"/>
          <w:numId w:val="51"/>
        </w:numPr>
        <w:spacing w:after="120"/>
      </w:pPr>
      <w:r>
        <w:rPr>
          <w:rFonts w:hint="eastAsia"/>
        </w:rPr>
        <w:t>应通过信息系统，根据产品、物料需求和库存等信息制定采购计划；实现对采购订单、采购合同和供应商等信息的管理。</w:t>
      </w:r>
    </w:p>
    <w:p w:rsidR="00586DE6" w:rsidRDefault="00586DE6" w:rsidP="002C5FC7">
      <w:pPr>
        <w:pStyle w:val="affffffffa"/>
        <w:numPr>
          <w:ilvl w:val="0"/>
          <w:numId w:val="51"/>
        </w:numPr>
        <w:spacing w:after="120"/>
      </w:pPr>
      <w:r>
        <w:rPr>
          <w:rFonts w:hint="eastAsia"/>
        </w:rPr>
        <w:t>应基于采购执行、生产消耗和库存等数据，建立采购模型，实时监控采购风险并及时预警。</w:t>
      </w:r>
    </w:p>
    <w:p w:rsidR="00586DE6" w:rsidRDefault="00586DE6" w:rsidP="002C5FC7">
      <w:pPr>
        <w:pStyle w:val="affffffffa"/>
        <w:numPr>
          <w:ilvl w:val="0"/>
          <w:numId w:val="51"/>
        </w:numPr>
        <w:spacing w:after="120"/>
      </w:pPr>
      <w:r>
        <w:rPr>
          <w:rFonts w:hint="eastAsia"/>
        </w:rPr>
        <w:t>应通过信息系统开展供应商管理，对供应商的供货质量、技术、响应、交付、成本等要素进行量化评价。</w:t>
      </w:r>
    </w:p>
    <w:p w:rsidR="00586DE6" w:rsidRDefault="00586DE6" w:rsidP="008621F8">
      <w:pPr>
        <w:pStyle w:val="affd"/>
        <w:spacing w:before="120" w:after="120"/>
        <w:ind w:left="0"/>
      </w:pPr>
      <w:r>
        <w:rPr>
          <w:rFonts w:hint="eastAsia"/>
        </w:rPr>
        <w:t>供应链管理</w:t>
      </w:r>
    </w:p>
    <w:p w:rsidR="00586DE6" w:rsidRDefault="00586DE6" w:rsidP="002C5FC7">
      <w:pPr>
        <w:pStyle w:val="affffffffa"/>
        <w:numPr>
          <w:ilvl w:val="0"/>
          <w:numId w:val="52"/>
        </w:numPr>
        <w:spacing w:after="120"/>
      </w:pPr>
      <w:r>
        <w:rPr>
          <w:rFonts w:hint="eastAsia"/>
        </w:rPr>
        <w:t>可应用企业资源计划系统，实现供应链数据集成。</w:t>
      </w:r>
    </w:p>
    <w:p w:rsidR="00586DE6" w:rsidRDefault="00586DE6" w:rsidP="002C5FC7">
      <w:pPr>
        <w:pStyle w:val="affffffffa"/>
        <w:numPr>
          <w:ilvl w:val="0"/>
          <w:numId w:val="52"/>
        </w:numPr>
        <w:spacing w:after="120"/>
      </w:pPr>
      <w:r>
        <w:rPr>
          <w:rFonts w:hint="eastAsia"/>
        </w:rPr>
        <w:t>应建立供应链管理系统，实现采购、生产和仓储等信息系统集成，开展供应商管理和量化评价。</w:t>
      </w:r>
    </w:p>
    <w:p w:rsidR="00586DE6" w:rsidRPr="0099609D" w:rsidRDefault="00586DE6" w:rsidP="002C5FC7">
      <w:pPr>
        <w:pStyle w:val="affffffffa"/>
        <w:numPr>
          <w:ilvl w:val="0"/>
          <w:numId w:val="52"/>
        </w:numPr>
        <w:spacing w:after="120"/>
        <w:rPr>
          <w:rFonts w:hint="eastAsia"/>
        </w:rPr>
      </w:pPr>
      <w:r>
        <w:rPr>
          <w:rFonts w:hint="eastAsia"/>
        </w:rPr>
        <w:t>宜通过与供应商的销售系统集成，集成供应链上下游数据，实现协同供应链，提升供应链韧性。</w:t>
      </w:r>
    </w:p>
    <w:p w:rsidR="0083458D" w:rsidRDefault="0083458D" w:rsidP="00586DE6">
      <w:pPr>
        <w:pStyle w:val="affc"/>
        <w:spacing w:before="240" w:after="240"/>
      </w:pPr>
      <w:bookmarkStart w:id="97" w:name="_Toc170154648"/>
      <w:bookmarkStart w:id="98" w:name="_Toc170154752"/>
      <w:bookmarkStart w:id="99" w:name="_Toc170155618"/>
      <w:r>
        <w:rPr>
          <w:rFonts w:hint="eastAsia"/>
        </w:rPr>
        <w:t>数字化服务</w:t>
      </w:r>
      <w:bookmarkEnd w:id="97"/>
      <w:bookmarkEnd w:id="98"/>
      <w:bookmarkEnd w:id="99"/>
    </w:p>
    <w:p w:rsidR="0083458D" w:rsidRDefault="0083458D" w:rsidP="0083458D">
      <w:pPr>
        <w:pStyle w:val="affffe"/>
        <w:ind w:firstLine="420"/>
      </w:pPr>
      <w:r>
        <w:rPr>
          <w:rFonts w:hint="eastAsia"/>
        </w:rPr>
        <w:t>数字化服务是数字化转型的关键内容，其内容包括但不限于：</w:t>
      </w:r>
    </w:p>
    <w:p w:rsidR="0083458D" w:rsidRDefault="0083458D" w:rsidP="00586DE6">
      <w:pPr>
        <w:pStyle w:val="affd"/>
        <w:spacing w:before="120" w:after="120"/>
        <w:ind w:left="0"/>
      </w:pPr>
      <w:r>
        <w:rPr>
          <w:rFonts w:hint="eastAsia"/>
        </w:rPr>
        <w:t>服务产品活动，包括但不限于：</w:t>
      </w:r>
    </w:p>
    <w:p w:rsidR="0083458D" w:rsidRDefault="0083458D" w:rsidP="002C5FC7">
      <w:pPr>
        <w:pStyle w:val="affffffffa"/>
        <w:numPr>
          <w:ilvl w:val="0"/>
          <w:numId w:val="53"/>
        </w:numPr>
        <w:spacing w:after="120"/>
      </w:pPr>
      <w:r>
        <w:rPr>
          <w:rFonts w:hint="eastAsia"/>
        </w:rPr>
        <w:t>通过信息系统，管理组织关键服务产品的管理和优化机制；通过信息系统集成整合服务研发、服务部署、服务交付和服务运行，在组织范围内，通过数据分析驱动服务产品全生命周期的创新；</w:t>
      </w:r>
    </w:p>
    <w:p w:rsidR="0083458D" w:rsidRDefault="0083458D" w:rsidP="002C5FC7">
      <w:pPr>
        <w:pStyle w:val="affffffffa"/>
        <w:numPr>
          <w:ilvl w:val="0"/>
          <w:numId w:val="53"/>
        </w:numPr>
        <w:spacing w:after="120"/>
      </w:pPr>
      <w:r>
        <w:rPr>
          <w:rFonts w:hint="eastAsia"/>
        </w:rPr>
        <w:t>数字化开展关键服务产品目录的版本管理，保障服务发布的有效性；</w:t>
      </w:r>
    </w:p>
    <w:p w:rsidR="0083458D" w:rsidRDefault="0083458D" w:rsidP="002C5FC7">
      <w:pPr>
        <w:pStyle w:val="affffffffa"/>
        <w:numPr>
          <w:ilvl w:val="0"/>
          <w:numId w:val="53"/>
        </w:numPr>
        <w:spacing w:after="120"/>
      </w:pPr>
      <w:r>
        <w:rPr>
          <w:rFonts w:hint="eastAsia"/>
        </w:rPr>
        <w:t>使用数字化技术采集测试数据，确保关键服务产品投入运行前得到充分的测试。</w:t>
      </w:r>
    </w:p>
    <w:p w:rsidR="0083458D" w:rsidRDefault="0083458D" w:rsidP="00586DE6">
      <w:pPr>
        <w:pStyle w:val="affd"/>
        <w:spacing w:before="120" w:after="120"/>
        <w:ind w:left="0"/>
      </w:pPr>
      <w:r>
        <w:rPr>
          <w:rFonts w:hint="eastAsia"/>
        </w:rPr>
        <w:t>服务交付活动，包括但不限于：</w:t>
      </w:r>
    </w:p>
    <w:p w:rsidR="0083458D" w:rsidRDefault="0083458D" w:rsidP="002C5FC7">
      <w:pPr>
        <w:pStyle w:val="affffffffa"/>
        <w:numPr>
          <w:ilvl w:val="0"/>
          <w:numId w:val="54"/>
        </w:numPr>
        <w:spacing w:after="120"/>
      </w:pPr>
      <w:r>
        <w:rPr>
          <w:rFonts w:hint="eastAsia"/>
        </w:rPr>
        <w:t>建立服务管理系统，支撑整体服务业务的运营，实现服务研发、生产、营销、交付的协同和优化管理；</w:t>
      </w:r>
    </w:p>
    <w:p w:rsidR="0083458D" w:rsidRDefault="0083458D" w:rsidP="002C5FC7">
      <w:pPr>
        <w:pStyle w:val="affffffffa"/>
        <w:numPr>
          <w:ilvl w:val="0"/>
          <w:numId w:val="54"/>
        </w:numPr>
        <w:spacing w:after="120"/>
      </w:pPr>
      <w:r>
        <w:rPr>
          <w:rFonts w:hint="eastAsia"/>
        </w:rPr>
        <w:t>通过数据集成融合实现不同交付方式无缝衔接和转换，并通过过程数据分析优化交付方式，适配服务场景和用户体验；</w:t>
      </w:r>
    </w:p>
    <w:p w:rsidR="0083458D" w:rsidRDefault="0083458D" w:rsidP="002C5FC7">
      <w:pPr>
        <w:pStyle w:val="affffffffa"/>
        <w:numPr>
          <w:ilvl w:val="0"/>
          <w:numId w:val="54"/>
        </w:numPr>
        <w:spacing w:after="120"/>
      </w:pPr>
      <w:r>
        <w:rPr>
          <w:rFonts w:hint="eastAsia"/>
        </w:rPr>
        <w:t>通过交付内容、服务研发、服务级别管理等</w:t>
      </w:r>
      <w:r w:rsidR="00586DE6">
        <w:rPr>
          <w:rFonts w:hint="eastAsia"/>
        </w:rPr>
        <w:t>集</w:t>
      </w:r>
      <w:r>
        <w:rPr>
          <w:rFonts w:hint="eastAsia"/>
        </w:rPr>
        <w:t>成，实现服务无形成果有型化、数字化，并通过动态识别客户需求，及时优化交付内容和成果等;</w:t>
      </w:r>
    </w:p>
    <w:p w:rsidR="0083458D" w:rsidRDefault="0083458D" w:rsidP="002C5FC7">
      <w:pPr>
        <w:pStyle w:val="affffffffa"/>
        <w:numPr>
          <w:ilvl w:val="0"/>
          <w:numId w:val="54"/>
        </w:numPr>
        <w:spacing w:after="120"/>
      </w:pPr>
      <w:r>
        <w:rPr>
          <w:rFonts w:hint="eastAsia"/>
        </w:rPr>
        <w:t>实现销售订单、物流配送、售后等服务可视化跟踪、监测与管控。</w:t>
      </w:r>
    </w:p>
    <w:p w:rsidR="0083458D" w:rsidRDefault="0083458D" w:rsidP="00586DE6">
      <w:pPr>
        <w:pStyle w:val="affd"/>
        <w:spacing w:before="120" w:after="120"/>
        <w:ind w:left="0"/>
      </w:pPr>
      <w:r>
        <w:rPr>
          <w:rFonts w:hint="eastAsia"/>
        </w:rPr>
        <w:t>服务能力活动，包括但不限于：</w:t>
      </w:r>
    </w:p>
    <w:p w:rsidR="0083458D" w:rsidRDefault="0083458D" w:rsidP="002C5FC7">
      <w:pPr>
        <w:pStyle w:val="affffffffa"/>
        <w:numPr>
          <w:ilvl w:val="0"/>
          <w:numId w:val="55"/>
        </w:numPr>
        <w:spacing w:after="120"/>
      </w:pPr>
      <w:r>
        <w:rPr>
          <w:rFonts w:hint="eastAsia"/>
        </w:rPr>
        <w:t>通过信息系统管理服务能力各要素，建立与服务营销、服务交付等系统的关联和协同，实现组织对服务能力的系统化管理；</w:t>
      </w:r>
    </w:p>
    <w:p w:rsidR="0083458D" w:rsidRDefault="0083458D" w:rsidP="002C5FC7">
      <w:pPr>
        <w:pStyle w:val="affffffffa"/>
        <w:numPr>
          <w:ilvl w:val="0"/>
          <w:numId w:val="55"/>
        </w:numPr>
        <w:spacing w:after="120"/>
      </w:pPr>
      <w:r>
        <w:rPr>
          <w:rFonts w:hint="eastAsia"/>
        </w:rPr>
        <w:t>结合行业领域特点，建立覆盖整个组织的服务能力标准，并通过数据的跨部门共享，实现基于标准的分析和告警;</w:t>
      </w:r>
    </w:p>
    <w:p w:rsidR="0083458D" w:rsidRDefault="0083458D" w:rsidP="002C5FC7">
      <w:pPr>
        <w:pStyle w:val="affffffffa"/>
        <w:numPr>
          <w:ilvl w:val="0"/>
          <w:numId w:val="55"/>
        </w:numPr>
        <w:spacing w:after="120"/>
      </w:pPr>
      <w:r>
        <w:rPr>
          <w:rFonts w:hint="eastAsia"/>
        </w:rPr>
        <w:t>持续实现用户服务响应速度提升、用户满意度提高等。</w:t>
      </w:r>
    </w:p>
    <w:p w:rsidR="0083458D" w:rsidRDefault="0083458D" w:rsidP="00EC7058">
      <w:pPr>
        <w:pStyle w:val="affffffffa"/>
        <w:numPr>
          <w:ilvl w:val="0"/>
          <w:numId w:val="0"/>
        </w:numPr>
        <w:spacing w:after="120"/>
      </w:pPr>
      <w:r>
        <w:rPr>
          <w:rFonts w:hint="eastAsia"/>
        </w:rPr>
        <w:t>服务运行活动，包括但不限于：</w:t>
      </w:r>
    </w:p>
    <w:p w:rsidR="0083458D" w:rsidRDefault="0083458D" w:rsidP="002C5FC7">
      <w:pPr>
        <w:pStyle w:val="affffffffa"/>
        <w:numPr>
          <w:ilvl w:val="0"/>
          <w:numId w:val="56"/>
        </w:numPr>
        <w:spacing w:after="120"/>
      </w:pPr>
      <w:r>
        <w:rPr>
          <w:rFonts w:hint="eastAsia"/>
        </w:rPr>
        <w:t>通过营销、研发、管理和交付等系统集成，自动生成基于客户需求和场景的服务组合；</w:t>
      </w:r>
    </w:p>
    <w:p w:rsidR="0083458D" w:rsidRDefault="0083458D" w:rsidP="002C5FC7">
      <w:pPr>
        <w:pStyle w:val="affffffffa"/>
        <w:numPr>
          <w:ilvl w:val="0"/>
          <w:numId w:val="56"/>
        </w:numPr>
        <w:spacing w:after="120"/>
      </w:pPr>
      <w:r>
        <w:rPr>
          <w:rFonts w:hint="eastAsia"/>
        </w:rPr>
        <w:t>通过服务管理系统建立集成接口，覆盖服务营销、服务管理和服务支付等，实现协同联动；</w:t>
      </w:r>
    </w:p>
    <w:p w:rsidR="0083458D" w:rsidRDefault="0083458D" w:rsidP="002C5FC7">
      <w:pPr>
        <w:pStyle w:val="affffffffa"/>
        <w:numPr>
          <w:ilvl w:val="0"/>
          <w:numId w:val="56"/>
        </w:numPr>
        <w:spacing w:after="120"/>
      </w:pPr>
      <w:r>
        <w:rPr>
          <w:rFonts w:hint="eastAsia"/>
        </w:rPr>
        <w:t>在服务管理系统中实现交付端跟踪，强化现场安全管控，并通过应急响应，缩短突发事件的响应和处置时间；</w:t>
      </w:r>
    </w:p>
    <w:p w:rsidR="0083458D" w:rsidRDefault="0083458D" w:rsidP="002C5FC7">
      <w:pPr>
        <w:pStyle w:val="affffffffa"/>
        <w:numPr>
          <w:ilvl w:val="0"/>
          <w:numId w:val="56"/>
        </w:numPr>
        <w:spacing w:after="120"/>
      </w:pPr>
      <w:r>
        <w:rPr>
          <w:rFonts w:hint="eastAsia"/>
        </w:rPr>
        <w:lastRenderedPageBreak/>
        <w:t>实现模型驱动的营销、销售、售后、用户体验等数字化服务。</w:t>
      </w:r>
    </w:p>
    <w:p w:rsidR="0083458D" w:rsidRDefault="0083458D" w:rsidP="00EC7058">
      <w:pPr>
        <w:pStyle w:val="affc"/>
        <w:spacing w:before="240" w:after="240"/>
      </w:pPr>
      <w:bookmarkStart w:id="100" w:name="_Toc164634050"/>
      <w:bookmarkStart w:id="101" w:name="_Toc164675737"/>
      <w:bookmarkStart w:id="102" w:name="_Toc164675793"/>
      <w:bookmarkStart w:id="103" w:name="_Toc166706650"/>
      <w:bookmarkStart w:id="104" w:name="_Toc167461393"/>
      <w:bookmarkStart w:id="105" w:name="_Toc170154649"/>
      <w:bookmarkStart w:id="106" w:name="_Toc170154753"/>
      <w:bookmarkStart w:id="107" w:name="_Toc170155619"/>
      <w:r>
        <w:rPr>
          <w:rFonts w:hint="eastAsia"/>
        </w:rPr>
        <w:t>检查反馈</w:t>
      </w:r>
      <w:bookmarkEnd w:id="100"/>
      <w:bookmarkEnd w:id="101"/>
      <w:bookmarkEnd w:id="102"/>
      <w:bookmarkEnd w:id="103"/>
      <w:bookmarkEnd w:id="104"/>
      <w:bookmarkEnd w:id="105"/>
      <w:bookmarkEnd w:id="106"/>
      <w:bookmarkEnd w:id="107"/>
    </w:p>
    <w:p w:rsidR="0083458D" w:rsidRDefault="0083458D" w:rsidP="0083458D">
      <w:pPr>
        <w:pStyle w:val="affffe"/>
        <w:ind w:firstLine="420"/>
      </w:pPr>
      <w:r>
        <w:rPr>
          <w:rFonts w:hint="eastAsia"/>
        </w:rPr>
        <w:t>对数字化转型成果进行检查反馈，包括但不限于：</w:t>
      </w:r>
    </w:p>
    <w:p w:rsidR="0083458D" w:rsidRDefault="0083458D" w:rsidP="002C5FC7">
      <w:pPr>
        <w:pStyle w:val="af5"/>
        <w:numPr>
          <w:ilvl w:val="0"/>
          <w:numId w:val="35"/>
        </w:numPr>
        <w:tabs>
          <w:tab w:val="num" w:pos="851"/>
        </w:tabs>
        <w:spacing w:before="120" w:after="120"/>
      </w:pPr>
      <w:r>
        <w:rPr>
          <w:rFonts w:hint="eastAsia"/>
        </w:rPr>
        <w:t>评估原则：以企业自评估为主，必要时可以请第三方评估。</w:t>
      </w:r>
    </w:p>
    <w:p w:rsidR="0083458D" w:rsidRDefault="0083458D" w:rsidP="0083458D">
      <w:pPr>
        <w:pStyle w:val="af5"/>
        <w:tabs>
          <w:tab w:val="num" w:pos="851"/>
        </w:tabs>
        <w:spacing w:before="120" w:after="120"/>
      </w:pPr>
      <w:r>
        <w:rPr>
          <w:rFonts w:hint="eastAsia"/>
        </w:rPr>
        <w:t>明确评估内容：包括战略、价值效益分析、重点项目验收评审。</w:t>
      </w:r>
    </w:p>
    <w:p w:rsidR="0083458D" w:rsidRDefault="0083458D" w:rsidP="0083458D">
      <w:pPr>
        <w:pStyle w:val="af5"/>
        <w:tabs>
          <w:tab w:val="num" w:pos="851"/>
        </w:tabs>
        <w:spacing w:before="120" w:after="120"/>
      </w:pPr>
      <w:r>
        <w:rPr>
          <w:rFonts w:hint="eastAsia"/>
        </w:rPr>
        <w:t>明确评估体系：根据新型能力在相关活动中的发展情况及</w:t>
      </w:r>
      <w:r w:rsidR="00B30A74">
        <w:rPr>
          <w:rFonts w:hint="eastAsia"/>
        </w:rPr>
        <w:t>保健食品</w:t>
      </w:r>
      <w:r>
        <w:rPr>
          <w:rFonts w:hint="eastAsia"/>
        </w:rPr>
        <w:t>企业发展需求，建立指标体系，明确评分机制与各指标权重；</w:t>
      </w:r>
    </w:p>
    <w:p w:rsidR="0083458D" w:rsidRDefault="0083458D" w:rsidP="0083458D">
      <w:pPr>
        <w:pStyle w:val="af5"/>
        <w:tabs>
          <w:tab w:val="num" w:pos="851"/>
        </w:tabs>
        <w:spacing w:before="120" w:after="120"/>
      </w:pPr>
      <w:r>
        <w:rPr>
          <w:rFonts w:hint="eastAsia"/>
        </w:rPr>
        <w:t>建立检查机制：明确检查主体及其责任，明确检查对象（包括数字化转型实施的目标、过程成果、应用效果等），建立检查规则和流程；</w:t>
      </w:r>
    </w:p>
    <w:p w:rsidR="0083458D" w:rsidRPr="00332032" w:rsidRDefault="0083458D" w:rsidP="0083458D">
      <w:pPr>
        <w:pStyle w:val="af5"/>
        <w:tabs>
          <w:tab w:val="num" w:pos="851"/>
        </w:tabs>
        <w:spacing w:before="120" w:after="120"/>
      </w:pPr>
      <w:r>
        <w:rPr>
          <w:rFonts w:hint="eastAsia"/>
        </w:rPr>
        <w:t>形成反馈流程：检查主体依据检查规则，按流程要求实施监督检查，形成检查结果，根据结果对数字化转型内容动态调整。</w:t>
      </w:r>
    </w:p>
    <w:p w:rsidR="0083458D" w:rsidRDefault="0083458D" w:rsidP="00EC7058">
      <w:pPr>
        <w:pStyle w:val="affc"/>
        <w:spacing w:before="240" w:after="240"/>
      </w:pPr>
      <w:bookmarkStart w:id="108" w:name="_Toc164634051"/>
      <w:bookmarkStart w:id="109" w:name="_Toc164675738"/>
      <w:bookmarkStart w:id="110" w:name="_Toc164675794"/>
      <w:bookmarkStart w:id="111" w:name="_Toc166706651"/>
      <w:bookmarkStart w:id="112" w:name="_Toc167461394"/>
      <w:bookmarkStart w:id="113" w:name="_Toc170154650"/>
      <w:bookmarkStart w:id="114" w:name="_Toc170154754"/>
      <w:bookmarkStart w:id="115" w:name="_Toc170155620"/>
      <w:r>
        <w:rPr>
          <w:rFonts w:hint="eastAsia"/>
        </w:rPr>
        <w:t>改进提升</w:t>
      </w:r>
      <w:bookmarkEnd w:id="108"/>
      <w:bookmarkEnd w:id="109"/>
      <w:bookmarkEnd w:id="110"/>
      <w:bookmarkEnd w:id="111"/>
      <w:bookmarkEnd w:id="112"/>
      <w:bookmarkEnd w:id="113"/>
      <w:bookmarkEnd w:id="114"/>
      <w:bookmarkEnd w:id="115"/>
    </w:p>
    <w:p w:rsidR="0083458D" w:rsidRDefault="0083458D" w:rsidP="0083458D">
      <w:pPr>
        <w:pStyle w:val="affffe"/>
        <w:ind w:firstLine="420"/>
      </w:pPr>
      <w:r>
        <w:rPr>
          <w:rFonts w:hint="eastAsia"/>
        </w:rPr>
        <w:t>数字化转型工作需要持续的改进提升以适应数字化业务环境的快速变革，包括但不限于：</w:t>
      </w:r>
    </w:p>
    <w:p w:rsidR="0083458D" w:rsidRDefault="00586DE6" w:rsidP="002C5FC7">
      <w:pPr>
        <w:pStyle w:val="af5"/>
        <w:numPr>
          <w:ilvl w:val="0"/>
          <w:numId w:val="36"/>
        </w:numPr>
        <w:tabs>
          <w:tab w:val="num" w:pos="851"/>
        </w:tabs>
        <w:spacing w:before="120" w:after="120"/>
      </w:pPr>
      <w:r>
        <w:rPr>
          <w:rFonts w:hint="eastAsia"/>
        </w:rPr>
        <w:t>利用敏捷方法实现数字化业务的生命周期</w:t>
      </w:r>
      <w:r w:rsidR="0083458D">
        <w:rPr>
          <w:rFonts w:hint="eastAsia"/>
        </w:rPr>
        <w:t>基于组件化、可重用共享等敏捷架构思想和方法覆盖数字化业务的设计、开发、部署、管理和持续改进；</w:t>
      </w:r>
    </w:p>
    <w:p w:rsidR="0083458D" w:rsidRDefault="0083458D" w:rsidP="0083458D">
      <w:pPr>
        <w:pStyle w:val="af5"/>
        <w:tabs>
          <w:tab w:val="num" w:pos="851"/>
        </w:tabs>
        <w:spacing w:before="120" w:after="120"/>
      </w:pPr>
      <w:r>
        <w:rPr>
          <w:rFonts w:hint="eastAsia"/>
        </w:rPr>
        <w:t>采用开发运维一体化方法构建开发与运维的高效协同机制，支撑数字化转型业务功能的快速迭代和市场投放管理；</w:t>
      </w:r>
    </w:p>
    <w:p w:rsidR="0083458D" w:rsidRDefault="0083458D" w:rsidP="0083458D">
      <w:pPr>
        <w:pStyle w:val="af5"/>
        <w:tabs>
          <w:tab w:val="num" w:pos="851"/>
        </w:tabs>
        <w:spacing w:before="120" w:after="120"/>
      </w:pPr>
      <w:r>
        <w:rPr>
          <w:rFonts w:hint="eastAsia"/>
        </w:rPr>
        <w:t>构建数字化业务基础架构，实现业务逻辑的层级、模块和对象之间的服务化交互，支撑业务的转型和持续迭代；</w:t>
      </w:r>
    </w:p>
    <w:p w:rsidR="0083458D" w:rsidRPr="00395314" w:rsidRDefault="0083458D" w:rsidP="0083458D">
      <w:pPr>
        <w:pStyle w:val="af5"/>
        <w:tabs>
          <w:tab w:val="num" w:pos="851"/>
        </w:tabs>
        <w:spacing w:before="120" w:after="120"/>
      </w:pPr>
      <w:r>
        <w:rPr>
          <w:rFonts w:hint="eastAsia"/>
        </w:rPr>
        <w:t>实现业务、服务组件、技术构件和底层架构的集成化、服务化封装与松耦合管理模式。</w:t>
      </w:r>
    </w:p>
    <w:p w:rsidR="00957F2B" w:rsidRDefault="00957F2B" w:rsidP="00957F2B">
      <w:pPr>
        <w:pStyle w:val="affc"/>
        <w:spacing w:before="240" w:after="240"/>
      </w:pPr>
      <w:bookmarkStart w:id="116" w:name="_Toc17639"/>
      <w:bookmarkStart w:id="117" w:name="_Toc170311663"/>
      <w:bookmarkStart w:id="118" w:name="_Toc170311614"/>
      <w:bookmarkStart w:id="119" w:name="_Toc2570"/>
      <w:bookmarkStart w:id="120" w:name="_Toc4823"/>
      <w:bookmarkStart w:id="121" w:name="_Toc13216"/>
      <w:bookmarkStart w:id="122" w:name="_Toc165277577"/>
      <w:bookmarkStart w:id="123" w:name="_Toc135514621"/>
      <w:bookmarkStart w:id="124" w:name="_Toc9104"/>
      <w:bookmarkStart w:id="125" w:name="_Toc165278262"/>
      <w:bookmarkStart w:id="126" w:name="_Toc24706"/>
      <w:bookmarkStart w:id="127" w:name="_Toc31448"/>
      <w:bookmarkStart w:id="128" w:name="_Toc10571"/>
      <w:bookmarkStart w:id="129" w:name="_Toc28276"/>
      <w:bookmarkStart w:id="130" w:name="_Toc2893"/>
      <w:bookmarkStart w:id="131" w:name="_Toc30288"/>
      <w:r>
        <w:rPr>
          <w:rFonts w:hint="eastAsia"/>
        </w:rPr>
        <w:t>系统</w:t>
      </w:r>
      <w:bookmarkEnd w:id="119"/>
      <w:bookmarkEnd w:id="120"/>
      <w:bookmarkEnd w:id="121"/>
      <w:bookmarkEnd w:id="122"/>
      <w:bookmarkEnd w:id="123"/>
      <w:bookmarkEnd w:id="124"/>
      <w:bookmarkEnd w:id="125"/>
      <w:bookmarkEnd w:id="126"/>
      <w:bookmarkEnd w:id="127"/>
      <w:bookmarkEnd w:id="128"/>
      <w:bookmarkEnd w:id="129"/>
      <w:bookmarkEnd w:id="130"/>
      <w:bookmarkEnd w:id="131"/>
      <w:r>
        <w:rPr>
          <w:rFonts w:hint="eastAsia"/>
        </w:rPr>
        <w:t>质量</w:t>
      </w:r>
      <w:r>
        <w:t>保</w:t>
      </w:r>
      <w:bookmarkEnd w:id="117"/>
      <w:bookmarkEnd w:id="118"/>
      <w:r>
        <w:rPr>
          <w:rFonts w:hint="eastAsia"/>
        </w:rPr>
        <w:t>证</w:t>
      </w:r>
      <w:bookmarkEnd w:id="116"/>
    </w:p>
    <w:p w:rsidR="00957F2B" w:rsidRDefault="00957F2B" w:rsidP="00957F2B">
      <w:pPr>
        <w:pStyle w:val="affd"/>
        <w:spacing w:before="120" w:after="120"/>
        <w:ind w:left="0"/>
      </w:pPr>
      <w:bookmarkStart w:id="132" w:name="_Toc16431"/>
      <w:bookmarkStart w:id="133" w:name="_Toc8016"/>
      <w:bookmarkStart w:id="134" w:name="_Toc12550"/>
      <w:bookmarkStart w:id="135" w:name="_Toc135514622"/>
      <w:r>
        <w:rPr>
          <w:rFonts w:hint="eastAsia"/>
        </w:rPr>
        <w:t>基本要求</w:t>
      </w:r>
      <w:bookmarkEnd w:id="132"/>
      <w:bookmarkEnd w:id="133"/>
      <w:bookmarkEnd w:id="134"/>
      <w:bookmarkEnd w:id="135"/>
    </w:p>
    <w:p w:rsidR="00957F2B" w:rsidRDefault="00957F2B" w:rsidP="00957F2B">
      <w:pPr>
        <w:pStyle w:val="affffe"/>
        <w:ind w:firstLine="420"/>
      </w:pPr>
      <w:r>
        <w:rPr>
          <w:rFonts w:hint="eastAsia"/>
          <w:lang w:bidi="ar"/>
        </w:rPr>
        <w:t>应关注</w:t>
      </w:r>
      <w:r>
        <w:rPr>
          <w:rFonts w:hint="eastAsia"/>
        </w:rPr>
        <w:t>各类</w:t>
      </w:r>
      <w:r>
        <w:rPr>
          <w:rFonts w:hint="eastAsia"/>
          <w:lang w:bidi="ar"/>
        </w:rPr>
        <w:t>软件系统应用对企业质量体系的影响，确保</w:t>
      </w:r>
      <w:r>
        <w:rPr>
          <w:rFonts w:hint="eastAsia"/>
        </w:rPr>
        <w:t>各类</w:t>
      </w:r>
      <w:r>
        <w:rPr>
          <w:rFonts w:hint="eastAsia"/>
          <w:lang w:bidi="ar"/>
        </w:rPr>
        <w:t>软件系统的实施和应用符合GMP质量管理系统的要求。</w:t>
      </w:r>
    </w:p>
    <w:p w:rsidR="00957F2B" w:rsidRDefault="00957F2B" w:rsidP="00957F2B">
      <w:pPr>
        <w:pStyle w:val="affd"/>
        <w:spacing w:before="120" w:after="120"/>
        <w:ind w:left="0"/>
      </w:pPr>
      <w:bookmarkStart w:id="136" w:name="_Toc11694"/>
      <w:bookmarkStart w:id="137" w:name="_Toc1182"/>
      <w:bookmarkStart w:id="138" w:name="_Toc135514623"/>
      <w:bookmarkStart w:id="139" w:name="_Toc11865"/>
      <w:r>
        <w:rPr>
          <w:rFonts w:hint="eastAsia"/>
        </w:rPr>
        <w:t>供应商评估</w:t>
      </w:r>
      <w:bookmarkEnd w:id="136"/>
      <w:bookmarkEnd w:id="137"/>
      <w:bookmarkEnd w:id="138"/>
      <w:bookmarkEnd w:id="139"/>
    </w:p>
    <w:p w:rsidR="00957F2B" w:rsidRDefault="00957F2B" w:rsidP="00957F2B">
      <w:pPr>
        <w:pStyle w:val="affffe"/>
        <w:ind w:firstLine="420"/>
      </w:pPr>
      <w:r>
        <w:rPr>
          <w:rFonts w:hint="eastAsia"/>
          <w:lang w:bidi="ar"/>
        </w:rPr>
        <w:t>对系统供应商评估应满足下列</w:t>
      </w:r>
      <w:r>
        <w:rPr>
          <w:rFonts w:hint="eastAsia"/>
        </w:rPr>
        <w:t>要求：</w:t>
      </w:r>
    </w:p>
    <w:p w:rsidR="00957F2B" w:rsidRDefault="00957F2B" w:rsidP="002C5FC7">
      <w:pPr>
        <w:pStyle w:val="af5"/>
        <w:numPr>
          <w:ilvl w:val="0"/>
          <w:numId w:val="57"/>
        </w:numPr>
        <w:spacing w:before="120" w:after="120"/>
      </w:pPr>
      <w:r>
        <w:rPr>
          <w:rFonts w:hint="eastAsia"/>
        </w:rPr>
        <w:t>考察供应商的规模、技术能级、设计水准、系统集成的安全性设计水准、产品适用度、实施全过程的规范化、开发及实施团队的能力、提供培训、支持和维护系统长期能力等。</w:t>
      </w:r>
    </w:p>
    <w:p w:rsidR="00957F2B" w:rsidRDefault="00957F2B" w:rsidP="002C5FC7">
      <w:pPr>
        <w:pStyle w:val="af5"/>
        <w:numPr>
          <w:ilvl w:val="0"/>
          <w:numId w:val="57"/>
        </w:numPr>
        <w:tabs>
          <w:tab w:val="clear" w:pos="426"/>
        </w:tabs>
        <w:spacing w:before="120" w:after="120"/>
      </w:pPr>
      <w:r>
        <w:rPr>
          <w:rFonts w:hint="eastAsia"/>
        </w:rPr>
        <w:t>考察供应商质量体系，供应商能提供产品生命周期内需要的各类文件，包括产品的安装（记录版本号，验证正确的安装方式）、系统配置、基于风险的供应商评估、支持具体业务流程的功能测试、表明系统符合预定用途并且允许系统进行需求验收的测试、根据风险和供应商评估结果实施的进一步测试。</w:t>
      </w:r>
    </w:p>
    <w:p w:rsidR="00957F2B" w:rsidRDefault="00957F2B" w:rsidP="002C5FC7">
      <w:pPr>
        <w:pStyle w:val="af5"/>
        <w:numPr>
          <w:ilvl w:val="0"/>
          <w:numId w:val="57"/>
        </w:numPr>
        <w:tabs>
          <w:tab w:val="clear" w:pos="426"/>
        </w:tabs>
        <w:spacing w:before="120" w:after="120"/>
      </w:pPr>
      <w:r>
        <w:rPr>
          <w:rFonts w:hint="eastAsia"/>
        </w:rPr>
        <w:t>对供应商的软件进行基于风险的测试，以表明软件在测试环境下和企业实际业务流程中能够满足需求。客户化定制部分软件需要提供其生命周期的文档资料（功能规范、设计规范、结构测试等），以及设计与源代码审查。</w:t>
      </w:r>
    </w:p>
    <w:p w:rsidR="00957F2B" w:rsidRDefault="00957F2B" w:rsidP="00957F2B">
      <w:pPr>
        <w:pStyle w:val="affd"/>
        <w:spacing w:before="120" w:after="120"/>
        <w:ind w:left="0"/>
      </w:pPr>
      <w:bookmarkStart w:id="140" w:name="_Toc20655"/>
      <w:bookmarkStart w:id="141" w:name="_Toc14268"/>
      <w:bookmarkStart w:id="142" w:name="_Toc135514624"/>
      <w:bookmarkStart w:id="143" w:name="_Toc29888"/>
      <w:r>
        <w:rPr>
          <w:rFonts w:hint="eastAsia"/>
        </w:rPr>
        <w:t>对企业原质量体系的影响</w:t>
      </w:r>
      <w:bookmarkEnd w:id="140"/>
      <w:bookmarkEnd w:id="141"/>
      <w:bookmarkEnd w:id="142"/>
      <w:bookmarkEnd w:id="143"/>
    </w:p>
    <w:p w:rsidR="00957F2B" w:rsidRDefault="00957F2B" w:rsidP="00EC7058">
      <w:pPr>
        <w:pStyle w:val="af5"/>
        <w:numPr>
          <w:ilvl w:val="0"/>
          <w:numId w:val="0"/>
        </w:numPr>
        <w:tabs>
          <w:tab w:val="clear" w:pos="426"/>
        </w:tabs>
        <w:spacing w:before="120" w:after="120"/>
        <w:ind w:firstLineChars="200" w:firstLine="420"/>
      </w:pPr>
      <w:r>
        <w:rPr>
          <w:rFonts w:hint="eastAsia"/>
        </w:rPr>
        <w:lastRenderedPageBreak/>
        <w:t>各类软件系统对企业原质量体系的影响，应满足下列要求：</w:t>
      </w:r>
    </w:p>
    <w:p w:rsidR="00957F2B" w:rsidRDefault="00957F2B" w:rsidP="002C5FC7">
      <w:pPr>
        <w:pStyle w:val="af5"/>
        <w:numPr>
          <w:ilvl w:val="0"/>
          <w:numId w:val="58"/>
        </w:numPr>
        <w:tabs>
          <w:tab w:val="clear" w:pos="426"/>
        </w:tabs>
        <w:spacing w:before="120" w:after="120"/>
      </w:pPr>
      <w:r>
        <w:rPr>
          <w:rFonts w:hint="eastAsia"/>
        </w:rPr>
        <w:t>用软件代替手工操作不降低产品的质量和质量保证要求，不违反</w:t>
      </w:r>
      <w:r>
        <w:t>GMP</w:t>
      </w:r>
      <w:r>
        <w:rPr>
          <w:rFonts w:hint="eastAsia"/>
        </w:rPr>
        <w:t>的相关原则。</w:t>
      </w:r>
    </w:p>
    <w:p w:rsidR="00957F2B" w:rsidRDefault="00957F2B" w:rsidP="002C5FC7">
      <w:pPr>
        <w:pStyle w:val="af5"/>
        <w:numPr>
          <w:ilvl w:val="0"/>
          <w:numId w:val="58"/>
        </w:numPr>
        <w:tabs>
          <w:tab w:val="clear" w:pos="426"/>
        </w:tabs>
        <w:spacing w:before="120" w:after="120"/>
      </w:pPr>
      <w:r>
        <w:rPr>
          <w:rFonts w:hint="eastAsia"/>
        </w:rPr>
        <w:t>若使用软件实施放行，必须有相应的措施保证，只有质量受权人能进行批放行，系统能确认并记录质量受权人的批放行。</w:t>
      </w:r>
    </w:p>
    <w:p w:rsidR="00957F2B" w:rsidRDefault="00957F2B" w:rsidP="002C5FC7">
      <w:pPr>
        <w:pStyle w:val="af5"/>
        <w:numPr>
          <w:ilvl w:val="0"/>
          <w:numId w:val="58"/>
        </w:numPr>
        <w:tabs>
          <w:tab w:val="clear" w:pos="426"/>
        </w:tabs>
        <w:spacing w:before="120" w:after="120"/>
      </w:pPr>
      <w:r>
        <w:rPr>
          <w:rFonts w:hint="eastAsia"/>
        </w:rPr>
        <w:t>建立计算机化系统周期性回顾的规程，并规定回顾的范围、方法及应采集的数据。</w:t>
      </w:r>
    </w:p>
    <w:p w:rsidR="00957F2B" w:rsidRDefault="00957F2B" w:rsidP="002C5FC7">
      <w:pPr>
        <w:pStyle w:val="af5"/>
        <w:numPr>
          <w:ilvl w:val="0"/>
          <w:numId w:val="58"/>
        </w:numPr>
        <w:tabs>
          <w:tab w:val="clear" w:pos="426"/>
        </w:tabs>
        <w:spacing w:before="120" w:after="120"/>
      </w:pPr>
      <w:r>
        <w:rPr>
          <w:rFonts w:hint="eastAsia"/>
        </w:rPr>
        <w:t>用户能采取措施保证计算机化系统中涉及的软件是根据质量保证体系的要求设计。</w:t>
      </w:r>
    </w:p>
    <w:p w:rsidR="00957F2B" w:rsidRDefault="00957F2B" w:rsidP="00957F2B">
      <w:pPr>
        <w:pStyle w:val="affd"/>
        <w:spacing w:before="120" w:after="120"/>
        <w:ind w:left="0"/>
      </w:pPr>
      <w:bookmarkStart w:id="144" w:name="_Toc6839"/>
      <w:bookmarkStart w:id="145" w:name="_Toc28431"/>
      <w:bookmarkStart w:id="146" w:name="_Toc21294"/>
      <w:bookmarkStart w:id="147" w:name="_Toc135514625"/>
      <w:r>
        <w:rPr>
          <w:rFonts w:hint="eastAsia"/>
        </w:rPr>
        <w:t>人员和培训</w:t>
      </w:r>
      <w:bookmarkEnd w:id="144"/>
      <w:bookmarkEnd w:id="145"/>
      <w:bookmarkEnd w:id="146"/>
      <w:bookmarkEnd w:id="147"/>
    </w:p>
    <w:p w:rsidR="00957F2B" w:rsidRDefault="00957F2B" w:rsidP="00957F2B">
      <w:pPr>
        <w:pStyle w:val="affffe"/>
        <w:ind w:firstLine="420"/>
      </w:pPr>
      <w:r>
        <w:rPr>
          <w:rFonts w:hint="eastAsia"/>
        </w:rPr>
        <w:t>各类</w:t>
      </w:r>
      <w:r>
        <w:rPr>
          <w:rFonts w:hint="eastAsia"/>
          <w:lang w:bidi="ar"/>
        </w:rPr>
        <w:t>软件系统实施必须对相关人员进行培训，培训应满足下列要求：</w:t>
      </w:r>
    </w:p>
    <w:p w:rsidR="00957F2B" w:rsidRDefault="00957F2B" w:rsidP="002C5FC7">
      <w:pPr>
        <w:pStyle w:val="af5"/>
        <w:numPr>
          <w:ilvl w:val="0"/>
          <w:numId w:val="59"/>
        </w:numPr>
        <w:tabs>
          <w:tab w:val="clear" w:pos="426"/>
        </w:tabs>
        <w:spacing w:before="120" w:after="120"/>
      </w:pPr>
      <w:r>
        <w:rPr>
          <w:rFonts w:hint="eastAsia"/>
        </w:rPr>
        <w:t>企业应配备各类软件系统设计、验证、安装和操作的专业人员，若委托外部机构或人员设计、验证、安装系统，应与其签订协议，并明确机构或人员的资质和职责。</w:t>
      </w:r>
    </w:p>
    <w:p w:rsidR="00957F2B" w:rsidRDefault="00957F2B" w:rsidP="002C5FC7">
      <w:pPr>
        <w:pStyle w:val="af5"/>
        <w:numPr>
          <w:ilvl w:val="0"/>
          <w:numId w:val="59"/>
        </w:numPr>
        <w:tabs>
          <w:tab w:val="clear" w:pos="426"/>
        </w:tabs>
        <w:spacing w:before="120" w:after="120"/>
      </w:pPr>
      <w:r>
        <w:rPr>
          <w:rFonts w:hint="eastAsia"/>
        </w:rPr>
        <w:t>质量管理人员要与各类软件系统技术人员一起紧密参与软件建设的全过程。</w:t>
      </w:r>
    </w:p>
    <w:p w:rsidR="00957F2B" w:rsidRDefault="00957F2B" w:rsidP="002C5FC7">
      <w:pPr>
        <w:pStyle w:val="af5"/>
        <w:numPr>
          <w:ilvl w:val="0"/>
          <w:numId w:val="59"/>
        </w:numPr>
        <w:tabs>
          <w:tab w:val="clear" w:pos="426"/>
        </w:tabs>
        <w:spacing w:before="120" w:after="120"/>
      </w:pPr>
      <w:r>
        <w:rPr>
          <w:rFonts w:hint="eastAsia"/>
        </w:rPr>
        <w:t>系统不因计算机操作人员而增加了使以前的体系变得不健全的风险。</w:t>
      </w:r>
    </w:p>
    <w:p w:rsidR="00957F2B" w:rsidRDefault="00957F2B" w:rsidP="002C5FC7">
      <w:pPr>
        <w:pStyle w:val="af5"/>
        <w:numPr>
          <w:ilvl w:val="0"/>
          <w:numId w:val="59"/>
        </w:numPr>
        <w:tabs>
          <w:tab w:val="clear" w:pos="426"/>
        </w:tabs>
        <w:spacing w:before="120" w:after="120"/>
      </w:pPr>
      <w:r>
        <w:rPr>
          <w:rFonts w:hint="eastAsia"/>
        </w:rPr>
        <w:t>建立系统管理人员的岗位操作职责和规程。</w:t>
      </w:r>
    </w:p>
    <w:p w:rsidR="00957F2B" w:rsidRDefault="00957F2B" w:rsidP="002C5FC7">
      <w:pPr>
        <w:pStyle w:val="af5"/>
        <w:numPr>
          <w:ilvl w:val="0"/>
          <w:numId w:val="59"/>
        </w:numPr>
        <w:tabs>
          <w:tab w:val="clear" w:pos="426"/>
        </w:tabs>
        <w:spacing w:before="120" w:after="120"/>
      </w:pPr>
      <w:r>
        <w:rPr>
          <w:rFonts w:hint="eastAsia"/>
        </w:rPr>
        <w:t>系统的操作和管理人员需要接受充分的培训，并有相关的培训纪录：</w:t>
      </w:r>
    </w:p>
    <w:p w:rsidR="00957F2B" w:rsidRDefault="00957F2B" w:rsidP="002C5FC7">
      <w:pPr>
        <w:pStyle w:val="af5"/>
        <w:numPr>
          <w:ilvl w:val="0"/>
          <w:numId w:val="59"/>
        </w:numPr>
        <w:tabs>
          <w:tab w:val="clear" w:pos="426"/>
        </w:tabs>
        <w:spacing w:before="120" w:after="120"/>
      </w:pPr>
      <w:r>
        <w:rPr>
          <w:rFonts w:hint="eastAsia"/>
        </w:rPr>
        <w:t>从事系统操作和维护的人员，受过专业的培训、教育，并有相关的经验；培训内容应包含</w:t>
      </w:r>
      <w:r>
        <w:t>GMP</w:t>
      </w:r>
      <w:r>
        <w:rPr>
          <w:rFonts w:hint="eastAsia"/>
        </w:rPr>
        <w:t>相关培训。</w:t>
      </w:r>
    </w:p>
    <w:p w:rsidR="00957F2B" w:rsidRDefault="00957F2B" w:rsidP="002C5FC7">
      <w:pPr>
        <w:pStyle w:val="af5"/>
        <w:numPr>
          <w:ilvl w:val="0"/>
          <w:numId w:val="59"/>
        </w:numPr>
        <w:tabs>
          <w:tab w:val="clear" w:pos="426"/>
        </w:tabs>
        <w:spacing w:before="120" w:after="120"/>
      </w:pPr>
      <w:r>
        <w:rPr>
          <w:rFonts w:hint="eastAsia"/>
        </w:rPr>
        <w:t>新招聘的员工需要接受与其从事工作相对应的培训。</w:t>
      </w:r>
    </w:p>
    <w:p w:rsidR="00957F2B" w:rsidRDefault="00957F2B" w:rsidP="00957F2B">
      <w:pPr>
        <w:pStyle w:val="affd"/>
        <w:spacing w:before="120" w:after="120"/>
        <w:ind w:left="0"/>
      </w:pPr>
      <w:bookmarkStart w:id="148" w:name="_Toc9698"/>
      <w:bookmarkStart w:id="149" w:name="_Toc572"/>
      <w:bookmarkStart w:id="150" w:name="_Toc8511"/>
      <w:bookmarkStart w:id="151" w:name="_Toc135514626"/>
      <w:r>
        <w:rPr>
          <w:rFonts w:hint="eastAsia"/>
        </w:rPr>
        <w:t>确认和验证</w:t>
      </w:r>
      <w:bookmarkEnd w:id="148"/>
      <w:bookmarkEnd w:id="149"/>
      <w:bookmarkEnd w:id="150"/>
      <w:bookmarkEnd w:id="151"/>
    </w:p>
    <w:p w:rsidR="00957F2B" w:rsidRDefault="00957F2B" w:rsidP="00957F2B">
      <w:pPr>
        <w:pStyle w:val="affffe"/>
        <w:ind w:firstLine="420"/>
      </w:pPr>
      <w:r>
        <w:rPr>
          <w:rFonts w:hint="eastAsia"/>
        </w:rPr>
        <w:t>各类</w:t>
      </w:r>
      <w:r>
        <w:rPr>
          <w:rFonts w:hint="eastAsia"/>
          <w:lang w:bidi="ar"/>
        </w:rPr>
        <w:t>软件系统运行前必须进行进行计算机化系统验证，验证应满足下列要求：</w:t>
      </w:r>
    </w:p>
    <w:p w:rsidR="00957F2B" w:rsidRDefault="00957F2B" w:rsidP="002C5FC7">
      <w:pPr>
        <w:pStyle w:val="af5"/>
        <w:numPr>
          <w:ilvl w:val="0"/>
          <w:numId w:val="60"/>
        </w:numPr>
        <w:tabs>
          <w:tab w:val="clear" w:pos="426"/>
        </w:tabs>
        <w:spacing w:before="120" w:after="120"/>
      </w:pPr>
      <w:r>
        <w:rPr>
          <w:rFonts w:hint="eastAsia"/>
        </w:rPr>
        <w:t>计算机系统的验证需建立验证小组，以确保验证的可靠性及可行性。小组成员应包括质量保证人员、信息人员、操作人员及其他相关人员。</w:t>
      </w:r>
    </w:p>
    <w:p w:rsidR="00957F2B" w:rsidRDefault="00957F2B" w:rsidP="002C5FC7">
      <w:pPr>
        <w:pStyle w:val="af5"/>
        <w:numPr>
          <w:ilvl w:val="0"/>
          <w:numId w:val="60"/>
        </w:numPr>
        <w:tabs>
          <w:tab w:val="clear" w:pos="426"/>
        </w:tabs>
        <w:spacing w:before="120" w:after="120"/>
      </w:pPr>
      <w:r>
        <w:rPr>
          <w:rFonts w:hint="eastAsia"/>
        </w:rPr>
        <w:t>对企业已有的自动化或计算机系统进行分类，并且制定相应的验证计划。验证计划需要涉及计算机系统的整个生命周期（从设计开发到系统退出全过程）。</w:t>
      </w:r>
    </w:p>
    <w:p w:rsidR="00957F2B" w:rsidRDefault="00957F2B" w:rsidP="002C5FC7">
      <w:pPr>
        <w:pStyle w:val="af5"/>
        <w:numPr>
          <w:ilvl w:val="0"/>
          <w:numId w:val="60"/>
        </w:numPr>
        <w:tabs>
          <w:tab w:val="clear" w:pos="426"/>
        </w:tabs>
        <w:spacing w:before="120" w:after="120"/>
      </w:pPr>
      <w:r>
        <w:rPr>
          <w:rFonts w:hint="eastAsia"/>
        </w:rPr>
        <w:t>对用于药品生产或质量相关的系统进行完整的测试和确认，保证其能获得可靠的结果。</w:t>
      </w:r>
    </w:p>
    <w:p w:rsidR="00957F2B" w:rsidRDefault="00957F2B" w:rsidP="002C5FC7">
      <w:pPr>
        <w:pStyle w:val="af5"/>
        <w:numPr>
          <w:ilvl w:val="0"/>
          <w:numId w:val="60"/>
        </w:numPr>
        <w:tabs>
          <w:tab w:val="clear" w:pos="426"/>
        </w:tabs>
        <w:spacing w:before="120" w:after="120"/>
      </w:pPr>
      <w:r>
        <w:rPr>
          <w:rFonts w:hint="eastAsia"/>
        </w:rPr>
        <w:t>具有完整的验证记录，以及验证报告，并存档。</w:t>
      </w:r>
    </w:p>
    <w:p w:rsidR="00957F2B" w:rsidRDefault="00957F2B" w:rsidP="002C5FC7">
      <w:pPr>
        <w:pStyle w:val="af5"/>
        <w:numPr>
          <w:ilvl w:val="0"/>
          <w:numId w:val="60"/>
        </w:numPr>
        <w:tabs>
          <w:tab w:val="clear" w:pos="426"/>
        </w:tabs>
        <w:spacing w:before="120" w:after="120"/>
      </w:pPr>
      <w:r>
        <w:rPr>
          <w:rFonts w:hint="eastAsia"/>
        </w:rPr>
        <w:t>软件需要包含数据的正确输入和处理的内部复核功能，对于手工输入的重要数据，要有额外的复核方法（人员复核或经验证的电子方法）。</w:t>
      </w:r>
    </w:p>
    <w:p w:rsidR="00957F2B" w:rsidRDefault="00957F2B" w:rsidP="00957F2B">
      <w:pPr>
        <w:pStyle w:val="affd"/>
        <w:spacing w:before="120" w:after="120"/>
        <w:ind w:left="0"/>
      </w:pPr>
      <w:bookmarkStart w:id="152" w:name="_Toc25508"/>
      <w:bookmarkStart w:id="153" w:name="_Toc2335"/>
      <w:bookmarkStart w:id="154" w:name="_Toc135514627"/>
      <w:bookmarkStart w:id="155" w:name="_Toc12447"/>
      <w:r>
        <w:rPr>
          <w:rFonts w:hint="eastAsia"/>
        </w:rPr>
        <w:t>使用和变更</w:t>
      </w:r>
      <w:bookmarkEnd w:id="152"/>
      <w:bookmarkEnd w:id="153"/>
      <w:bookmarkEnd w:id="154"/>
      <w:bookmarkEnd w:id="155"/>
    </w:p>
    <w:p w:rsidR="00957F2B" w:rsidRDefault="00957F2B" w:rsidP="00957F2B">
      <w:pPr>
        <w:pStyle w:val="affffe"/>
        <w:ind w:firstLine="420"/>
      </w:pPr>
      <w:r>
        <w:rPr>
          <w:rFonts w:hint="eastAsia"/>
        </w:rPr>
        <w:t>各类</w:t>
      </w:r>
      <w:r>
        <w:rPr>
          <w:rFonts w:hint="eastAsia"/>
          <w:lang w:bidi="ar"/>
        </w:rPr>
        <w:t>软件系统使用和变更过程中，应满足下列要求：</w:t>
      </w:r>
    </w:p>
    <w:p w:rsidR="00957F2B" w:rsidRDefault="00957F2B" w:rsidP="002C5FC7">
      <w:pPr>
        <w:pStyle w:val="af5"/>
        <w:numPr>
          <w:ilvl w:val="0"/>
          <w:numId w:val="61"/>
        </w:numPr>
        <w:tabs>
          <w:tab w:val="clear" w:pos="426"/>
        </w:tabs>
        <w:spacing w:before="120" w:after="120"/>
      </w:pPr>
      <w:r>
        <w:rPr>
          <w:rFonts w:hint="eastAsia"/>
        </w:rPr>
        <w:t>各类业务数据应具有良好的可追溯性。</w:t>
      </w:r>
    </w:p>
    <w:p w:rsidR="00957F2B" w:rsidRDefault="00957F2B" w:rsidP="002C5FC7">
      <w:pPr>
        <w:pStyle w:val="af5"/>
        <w:numPr>
          <w:ilvl w:val="0"/>
          <w:numId w:val="61"/>
        </w:numPr>
        <w:tabs>
          <w:tab w:val="clear" w:pos="426"/>
        </w:tabs>
        <w:spacing w:before="120" w:after="120"/>
      </w:pPr>
      <w:r>
        <w:rPr>
          <w:rFonts w:hint="eastAsia"/>
        </w:rPr>
        <w:t>必须有适当的方法阻止非授权人员进行数据操作（如加密密钥、引导卡、个人密码和限制访问计算机终端等）。</w:t>
      </w:r>
    </w:p>
    <w:p w:rsidR="00957F2B" w:rsidRDefault="00957F2B" w:rsidP="002C5FC7">
      <w:pPr>
        <w:pStyle w:val="af5"/>
        <w:numPr>
          <w:ilvl w:val="0"/>
          <w:numId w:val="61"/>
        </w:numPr>
        <w:tabs>
          <w:tab w:val="clear" w:pos="426"/>
        </w:tabs>
        <w:spacing w:before="120" w:after="120"/>
      </w:pPr>
      <w:r>
        <w:rPr>
          <w:rFonts w:hint="eastAsia"/>
        </w:rPr>
        <w:t>建立数据发布、数据删除、数据修改、数据访问的审批制度，如变更个人密码等。</w:t>
      </w:r>
    </w:p>
    <w:p w:rsidR="00957F2B" w:rsidRDefault="00957F2B" w:rsidP="002C5FC7">
      <w:pPr>
        <w:pStyle w:val="af5"/>
        <w:numPr>
          <w:ilvl w:val="0"/>
          <w:numId w:val="61"/>
        </w:numPr>
        <w:tabs>
          <w:tab w:val="clear" w:pos="426"/>
        </w:tabs>
        <w:spacing w:before="120" w:after="120"/>
      </w:pPr>
      <w:r>
        <w:rPr>
          <w:rFonts w:hint="eastAsia"/>
        </w:rPr>
        <w:t>如果采用电子签名，需要经过安全性验证。</w:t>
      </w:r>
    </w:p>
    <w:p w:rsidR="00957F2B" w:rsidRDefault="00957F2B" w:rsidP="002C5FC7">
      <w:pPr>
        <w:pStyle w:val="af5"/>
        <w:numPr>
          <w:ilvl w:val="0"/>
          <w:numId w:val="61"/>
        </w:numPr>
        <w:tabs>
          <w:tab w:val="clear" w:pos="426"/>
        </w:tabs>
        <w:spacing w:before="120" w:after="120"/>
      </w:pPr>
      <w:r>
        <w:rPr>
          <w:rFonts w:hint="eastAsia"/>
        </w:rPr>
        <w:t>对于非授权的访问，该系统具有相关记录。</w:t>
      </w:r>
    </w:p>
    <w:p w:rsidR="00957F2B" w:rsidRDefault="00957F2B" w:rsidP="002C5FC7">
      <w:pPr>
        <w:pStyle w:val="af5"/>
        <w:numPr>
          <w:ilvl w:val="0"/>
          <w:numId w:val="61"/>
        </w:numPr>
        <w:tabs>
          <w:tab w:val="clear" w:pos="426"/>
        </w:tabs>
        <w:spacing w:before="120" w:after="120"/>
      </w:pPr>
      <w:r>
        <w:rPr>
          <w:rFonts w:hint="eastAsia"/>
        </w:rPr>
        <w:t>系统能识别输入和确认重要数据的操作人员。</w:t>
      </w:r>
    </w:p>
    <w:p w:rsidR="00957F2B" w:rsidRDefault="00957F2B" w:rsidP="002C5FC7">
      <w:pPr>
        <w:pStyle w:val="af5"/>
        <w:numPr>
          <w:ilvl w:val="0"/>
          <w:numId w:val="61"/>
        </w:numPr>
        <w:tabs>
          <w:tab w:val="clear" w:pos="426"/>
        </w:tabs>
        <w:spacing w:before="120" w:after="120"/>
      </w:pPr>
      <w:r>
        <w:rPr>
          <w:rFonts w:hint="eastAsia"/>
        </w:rPr>
        <w:lastRenderedPageBreak/>
        <w:t>应按照</w:t>
      </w:r>
      <w:r>
        <w:t>IT</w:t>
      </w:r>
      <w:r>
        <w:rPr>
          <w:rFonts w:hint="eastAsia"/>
        </w:rPr>
        <w:t>审计要求的内控制度进行不相容岗位拆分，严格权限互相牵制。如：系统管理员、数据库管理员、应用系统管理员、程序开发员等。</w:t>
      </w:r>
    </w:p>
    <w:p w:rsidR="00957F2B" w:rsidRDefault="00957F2B" w:rsidP="002C5FC7">
      <w:pPr>
        <w:pStyle w:val="af5"/>
        <w:numPr>
          <w:ilvl w:val="0"/>
          <w:numId w:val="61"/>
        </w:numPr>
        <w:tabs>
          <w:tab w:val="clear" w:pos="426"/>
        </w:tabs>
        <w:spacing w:before="120" w:after="120"/>
      </w:pPr>
      <w:r>
        <w:rPr>
          <w:rFonts w:hint="eastAsia"/>
        </w:rPr>
        <w:t>对已经录入的数据进行修改需要授权，并且具有修改日志存档的记录。</w:t>
      </w:r>
    </w:p>
    <w:p w:rsidR="00957F2B" w:rsidRDefault="00957F2B" w:rsidP="002C5FC7">
      <w:pPr>
        <w:pStyle w:val="af5"/>
        <w:numPr>
          <w:ilvl w:val="0"/>
          <w:numId w:val="61"/>
        </w:numPr>
        <w:tabs>
          <w:tab w:val="clear" w:pos="426"/>
        </w:tabs>
        <w:spacing w:before="120" w:after="120"/>
      </w:pPr>
      <w:r>
        <w:rPr>
          <w:rFonts w:hint="eastAsia"/>
        </w:rPr>
        <w:t>能产生审计跟踪记录，记录所有的输入和修改日志记录</w:t>
      </w:r>
    </w:p>
    <w:p w:rsidR="00957F2B" w:rsidRDefault="00957F2B" w:rsidP="002C5FC7">
      <w:pPr>
        <w:pStyle w:val="af5"/>
        <w:numPr>
          <w:ilvl w:val="0"/>
          <w:numId w:val="61"/>
        </w:numPr>
        <w:tabs>
          <w:tab w:val="clear" w:pos="426"/>
        </w:tabs>
        <w:spacing w:before="120" w:after="120"/>
      </w:pPr>
      <w:r>
        <w:rPr>
          <w:rFonts w:hint="eastAsia"/>
        </w:rPr>
        <w:t>对于软件进行变更建立确定的规程，包括变更的验证、检查、批准和执行。</w:t>
      </w:r>
    </w:p>
    <w:p w:rsidR="00957F2B" w:rsidRDefault="00957F2B" w:rsidP="002C5FC7">
      <w:pPr>
        <w:pStyle w:val="af5"/>
        <w:numPr>
          <w:ilvl w:val="0"/>
          <w:numId w:val="61"/>
        </w:numPr>
        <w:tabs>
          <w:tab w:val="clear" w:pos="426"/>
        </w:tabs>
        <w:spacing w:before="120" w:after="120"/>
      </w:pPr>
      <w:r>
        <w:rPr>
          <w:rFonts w:hint="eastAsia"/>
        </w:rPr>
        <w:t>执行变更需要获得相关负责人的同意并建立相应记录。</w:t>
      </w:r>
    </w:p>
    <w:p w:rsidR="00957F2B" w:rsidRDefault="00957F2B" w:rsidP="002C5FC7">
      <w:pPr>
        <w:pStyle w:val="af5"/>
        <w:numPr>
          <w:ilvl w:val="0"/>
          <w:numId w:val="61"/>
        </w:numPr>
        <w:tabs>
          <w:tab w:val="clear" w:pos="426"/>
        </w:tabs>
        <w:spacing w:before="120" w:after="120"/>
      </w:pPr>
      <w:r>
        <w:rPr>
          <w:rFonts w:hint="eastAsia"/>
        </w:rPr>
        <w:t>对于重要的修正需要进行相关的验证。</w:t>
      </w:r>
    </w:p>
    <w:p w:rsidR="00957F2B" w:rsidRDefault="00957F2B" w:rsidP="00957F2B">
      <w:pPr>
        <w:pStyle w:val="affd"/>
        <w:spacing w:before="120" w:after="120"/>
        <w:ind w:left="0"/>
      </w:pPr>
      <w:bookmarkStart w:id="156" w:name="_Toc135514628"/>
      <w:bookmarkStart w:id="157" w:name="_Toc20360"/>
      <w:bookmarkStart w:id="158" w:name="_Toc25364"/>
      <w:bookmarkStart w:id="159" w:name="_Toc11595"/>
      <w:r>
        <w:rPr>
          <w:rFonts w:hint="eastAsia"/>
        </w:rPr>
        <w:t>文件和记录</w:t>
      </w:r>
      <w:bookmarkEnd w:id="156"/>
      <w:bookmarkEnd w:id="157"/>
      <w:bookmarkEnd w:id="158"/>
      <w:bookmarkEnd w:id="159"/>
    </w:p>
    <w:p w:rsidR="00957F2B" w:rsidRDefault="00957F2B" w:rsidP="00957F2B">
      <w:pPr>
        <w:pStyle w:val="affffe"/>
        <w:ind w:firstLine="420"/>
      </w:pPr>
      <w:r>
        <w:rPr>
          <w:rFonts w:hint="eastAsia"/>
        </w:rPr>
        <w:t>各类</w:t>
      </w:r>
      <w:r>
        <w:rPr>
          <w:rFonts w:hint="eastAsia"/>
          <w:lang w:bidi="ar"/>
        </w:rPr>
        <w:t>软件系统应具备完整的操作文件系统，并满足下列要求：</w:t>
      </w:r>
    </w:p>
    <w:p w:rsidR="00957F2B" w:rsidRDefault="00957F2B" w:rsidP="002C5FC7">
      <w:pPr>
        <w:pStyle w:val="af5"/>
        <w:numPr>
          <w:ilvl w:val="0"/>
          <w:numId w:val="62"/>
        </w:numPr>
        <w:tabs>
          <w:tab w:val="clear" w:pos="426"/>
        </w:tabs>
        <w:spacing w:before="120" w:after="120"/>
      </w:pPr>
      <w:r>
        <w:rPr>
          <w:rFonts w:hint="eastAsia"/>
        </w:rPr>
        <w:t>具有系统的完整文件并进行更新（包括用户需求说明书、功能说明书、设计说明书等，以及与其它系统相关的文件资料）。</w:t>
      </w:r>
    </w:p>
    <w:p w:rsidR="00957F2B" w:rsidRDefault="00957F2B" w:rsidP="002C5FC7">
      <w:pPr>
        <w:pStyle w:val="af5"/>
        <w:numPr>
          <w:ilvl w:val="0"/>
          <w:numId w:val="62"/>
        </w:numPr>
        <w:tabs>
          <w:tab w:val="clear" w:pos="426"/>
        </w:tabs>
        <w:spacing w:before="120" w:after="120"/>
      </w:pPr>
      <w:r>
        <w:rPr>
          <w:rFonts w:hint="eastAsia"/>
        </w:rPr>
        <w:t>能获得清楚的电子储存数据的打印副本，以满足质量审计的要求。</w:t>
      </w:r>
    </w:p>
    <w:p w:rsidR="00957F2B" w:rsidRDefault="00957F2B" w:rsidP="002C5FC7">
      <w:pPr>
        <w:pStyle w:val="af5"/>
        <w:numPr>
          <w:ilvl w:val="0"/>
          <w:numId w:val="62"/>
        </w:numPr>
        <w:tabs>
          <w:tab w:val="clear" w:pos="426"/>
        </w:tabs>
        <w:spacing w:before="120" w:after="120"/>
      </w:pPr>
      <w:r>
        <w:rPr>
          <w:rFonts w:hint="eastAsia"/>
        </w:rPr>
        <w:t>电子记录安全，不会丢失、破坏或被未授权的人更改。</w:t>
      </w:r>
    </w:p>
    <w:p w:rsidR="00957F2B" w:rsidRDefault="00957F2B" w:rsidP="002C5FC7">
      <w:pPr>
        <w:pStyle w:val="af5"/>
        <w:numPr>
          <w:ilvl w:val="0"/>
          <w:numId w:val="62"/>
        </w:numPr>
        <w:tabs>
          <w:tab w:val="clear" w:pos="426"/>
        </w:tabs>
        <w:spacing w:before="120" w:after="120"/>
      </w:pPr>
      <w:r>
        <w:rPr>
          <w:rFonts w:hint="eastAsia"/>
        </w:rPr>
        <w:t>记录能够清晰明确地表述重要的活动或事件。</w:t>
      </w:r>
    </w:p>
    <w:p w:rsidR="00957F2B" w:rsidRDefault="00957F2B" w:rsidP="002C5FC7">
      <w:pPr>
        <w:pStyle w:val="af5"/>
        <w:numPr>
          <w:ilvl w:val="0"/>
          <w:numId w:val="62"/>
        </w:numPr>
        <w:tabs>
          <w:tab w:val="clear" w:pos="426"/>
        </w:tabs>
        <w:spacing w:before="120" w:after="120"/>
      </w:pPr>
      <w:r>
        <w:rPr>
          <w:rFonts w:hint="eastAsia"/>
        </w:rPr>
        <w:t>如果计算机设备或软件发生变更，采取必要的物理或电子方式保护和检查已存储的数据。</w:t>
      </w:r>
    </w:p>
    <w:p w:rsidR="00957F2B" w:rsidRDefault="00957F2B" w:rsidP="002C5FC7">
      <w:pPr>
        <w:pStyle w:val="af5"/>
        <w:numPr>
          <w:ilvl w:val="0"/>
          <w:numId w:val="62"/>
        </w:numPr>
        <w:tabs>
          <w:tab w:val="clear" w:pos="426"/>
        </w:tabs>
        <w:spacing w:before="120" w:after="120"/>
      </w:pPr>
      <w:r>
        <w:rPr>
          <w:rFonts w:hint="eastAsia"/>
        </w:rPr>
        <w:t>有保护数据的措施，避免数据突发性破坏。</w:t>
      </w:r>
    </w:p>
    <w:p w:rsidR="00957F2B" w:rsidRDefault="00957F2B" w:rsidP="002C5FC7">
      <w:pPr>
        <w:pStyle w:val="af5"/>
        <w:numPr>
          <w:ilvl w:val="0"/>
          <w:numId w:val="62"/>
        </w:numPr>
        <w:tabs>
          <w:tab w:val="clear" w:pos="426"/>
        </w:tabs>
        <w:spacing w:before="120" w:after="120"/>
      </w:pPr>
      <w:r>
        <w:rPr>
          <w:rFonts w:hint="eastAsia"/>
        </w:rPr>
        <w:t>检查存储数据的准确性，易获得性以及持久性。</w:t>
      </w:r>
    </w:p>
    <w:p w:rsidR="00957F2B" w:rsidRDefault="00957F2B" w:rsidP="002C5FC7">
      <w:pPr>
        <w:pStyle w:val="af5"/>
        <w:numPr>
          <w:ilvl w:val="0"/>
          <w:numId w:val="62"/>
        </w:numPr>
        <w:tabs>
          <w:tab w:val="clear" w:pos="426"/>
        </w:tabs>
        <w:spacing w:before="120" w:after="120"/>
      </w:pPr>
      <w:r>
        <w:rPr>
          <w:rFonts w:hint="eastAsia"/>
        </w:rPr>
        <w:t>对数据进行定期备份，并且备份的数据储存在隔离的安全区域。</w:t>
      </w:r>
    </w:p>
    <w:p w:rsidR="00957F2B" w:rsidRDefault="00957F2B" w:rsidP="002C5FC7">
      <w:pPr>
        <w:pStyle w:val="af5"/>
        <w:numPr>
          <w:ilvl w:val="0"/>
          <w:numId w:val="62"/>
        </w:numPr>
        <w:tabs>
          <w:tab w:val="clear" w:pos="426"/>
        </w:tabs>
        <w:spacing w:before="120" w:after="120"/>
      </w:pPr>
      <w:r>
        <w:rPr>
          <w:rFonts w:hint="eastAsia"/>
        </w:rPr>
        <w:t>建立日常的维护规程和记录。</w:t>
      </w:r>
    </w:p>
    <w:p w:rsidR="00957F2B" w:rsidRDefault="00957F2B" w:rsidP="002C5FC7">
      <w:pPr>
        <w:pStyle w:val="af5"/>
        <w:numPr>
          <w:ilvl w:val="0"/>
          <w:numId w:val="62"/>
        </w:numPr>
        <w:tabs>
          <w:tab w:val="clear" w:pos="426"/>
        </w:tabs>
        <w:spacing w:before="120" w:after="120"/>
      </w:pPr>
      <w:r>
        <w:rPr>
          <w:rFonts w:hint="eastAsia"/>
        </w:rPr>
        <w:t>记录所有故障、相应的调查分析和整改措施。</w:t>
      </w:r>
    </w:p>
    <w:p w:rsidR="00957F2B" w:rsidRDefault="00957F2B" w:rsidP="002C5FC7">
      <w:pPr>
        <w:pStyle w:val="af5"/>
        <w:numPr>
          <w:ilvl w:val="0"/>
          <w:numId w:val="62"/>
        </w:numPr>
        <w:tabs>
          <w:tab w:val="clear" w:pos="426"/>
        </w:tabs>
        <w:spacing w:before="120" w:after="120"/>
      </w:pPr>
      <w:r>
        <w:rPr>
          <w:rFonts w:hint="eastAsia"/>
        </w:rPr>
        <w:t>建立记录和分析错误的规程，以便实施整改行动。</w:t>
      </w:r>
    </w:p>
    <w:p w:rsidR="00957F2B" w:rsidRDefault="00957F2B" w:rsidP="00957F2B">
      <w:pPr>
        <w:pStyle w:val="affd"/>
        <w:spacing w:before="120" w:after="120"/>
        <w:ind w:left="0"/>
      </w:pPr>
      <w:bookmarkStart w:id="160" w:name="_Toc135514629"/>
      <w:bookmarkStart w:id="161" w:name="_Toc25951"/>
      <w:bookmarkStart w:id="162" w:name="_Toc3463"/>
      <w:bookmarkStart w:id="163" w:name="_Toc2753"/>
      <w:r>
        <w:rPr>
          <w:rFonts w:hint="eastAsia"/>
        </w:rPr>
        <w:t>系统维护</w:t>
      </w:r>
      <w:bookmarkEnd w:id="160"/>
      <w:bookmarkEnd w:id="161"/>
      <w:bookmarkEnd w:id="162"/>
      <w:bookmarkEnd w:id="163"/>
    </w:p>
    <w:p w:rsidR="00957F2B" w:rsidRDefault="00957F2B" w:rsidP="00957F2B">
      <w:pPr>
        <w:pStyle w:val="affffe"/>
        <w:ind w:firstLine="420"/>
      </w:pPr>
      <w:r>
        <w:rPr>
          <w:rFonts w:hint="eastAsia"/>
          <w:lang w:bidi="ar"/>
        </w:rPr>
        <w:t>对</w:t>
      </w:r>
      <w:r>
        <w:rPr>
          <w:rFonts w:hint="eastAsia"/>
        </w:rPr>
        <w:t>各类</w:t>
      </w:r>
      <w:r>
        <w:rPr>
          <w:rFonts w:hint="eastAsia"/>
          <w:lang w:bidi="ar"/>
        </w:rPr>
        <w:t>软件系统维护应满足下列要求：</w:t>
      </w:r>
    </w:p>
    <w:p w:rsidR="00957F2B" w:rsidRDefault="00957F2B" w:rsidP="002C5FC7">
      <w:pPr>
        <w:pStyle w:val="af5"/>
        <w:numPr>
          <w:ilvl w:val="0"/>
          <w:numId w:val="63"/>
        </w:numPr>
        <w:tabs>
          <w:tab w:val="clear" w:pos="426"/>
        </w:tabs>
        <w:spacing w:before="120" w:after="120"/>
      </w:pPr>
      <w:r>
        <w:rPr>
          <w:rFonts w:hint="eastAsia"/>
        </w:rPr>
        <w:t>严格执行系统的日常维护操作规程并做记录。</w:t>
      </w:r>
    </w:p>
    <w:p w:rsidR="00957F2B" w:rsidRDefault="00957F2B" w:rsidP="002C5FC7">
      <w:pPr>
        <w:pStyle w:val="af5"/>
        <w:numPr>
          <w:ilvl w:val="0"/>
          <w:numId w:val="63"/>
        </w:numPr>
        <w:tabs>
          <w:tab w:val="clear" w:pos="426"/>
        </w:tabs>
        <w:spacing w:before="120" w:after="120"/>
      </w:pPr>
      <w:r>
        <w:rPr>
          <w:rFonts w:hint="eastAsia"/>
        </w:rPr>
        <w:t>当发生故障时，有备选的应急预案。</w:t>
      </w:r>
    </w:p>
    <w:p w:rsidR="00957F2B" w:rsidRDefault="00957F2B" w:rsidP="002C5FC7">
      <w:pPr>
        <w:pStyle w:val="af5"/>
        <w:numPr>
          <w:ilvl w:val="0"/>
          <w:numId w:val="63"/>
        </w:numPr>
        <w:tabs>
          <w:tab w:val="clear" w:pos="426"/>
        </w:tabs>
        <w:spacing w:before="120" w:after="120"/>
      </w:pPr>
      <w:r>
        <w:rPr>
          <w:rFonts w:hint="eastAsia"/>
        </w:rPr>
        <w:t>有检查和处理系统故障的相关规程。</w:t>
      </w:r>
    </w:p>
    <w:p w:rsidR="00957F2B" w:rsidRDefault="00957F2B" w:rsidP="002C5FC7">
      <w:pPr>
        <w:pStyle w:val="af5"/>
        <w:numPr>
          <w:ilvl w:val="0"/>
          <w:numId w:val="63"/>
        </w:numPr>
        <w:tabs>
          <w:tab w:val="clear" w:pos="426"/>
        </w:tabs>
        <w:spacing w:before="120" w:after="120"/>
      </w:pPr>
      <w:r>
        <w:rPr>
          <w:rFonts w:hint="eastAsia"/>
        </w:rPr>
        <w:t>系统应提供对数据库</w:t>
      </w:r>
      <w:bookmarkStart w:id="164" w:name="_GoBack"/>
      <w:bookmarkEnd w:id="164"/>
      <w:r>
        <w:rPr>
          <w:rFonts w:hint="eastAsia"/>
        </w:rPr>
        <w:t>各类表格的记录数统计查询和所占表空间信息的查询和调整优化，便于用户掌握数据库的当前运行状态。</w:t>
      </w:r>
    </w:p>
    <w:p w:rsidR="00957F2B" w:rsidRDefault="00957F2B" w:rsidP="002C5FC7">
      <w:pPr>
        <w:pStyle w:val="af5"/>
        <w:numPr>
          <w:ilvl w:val="0"/>
          <w:numId w:val="63"/>
        </w:numPr>
        <w:tabs>
          <w:tab w:val="clear" w:pos="426"/>
        </w:tabs>
        <w:spacing w:before="120" w:after="120"/>
      </w:pPr>
      <w:r>
        <w:rPr>
          <w:rFonts w:hint="eastAsia"/>
        </w:rPr>
        <w:t>系统应提供数据库备份功能，能够通过设置定时或即时备份。并且备份方式应支持完全备份和差异备份等备份方式。</w:t>
      </w:r>
    </w:p>
    <w:p w:rsidR="00957F2B" w:rsidRDefault="00957F2B" w:rsidP="002C5FC7">
      <w:pPr>
        <w:pStyle w:val="af5"/>
        <w:numPr>
          <w:ilvl w:val="0"/>
          <w:numId w:val="63"/>
        </w:numPr>
        <w:tabs>
          <w:tab w:val="clear" w:pos="426"/>
        </w:tabs>
        <w:spacing w:before="120" w:after="120"/>
      </w:pPr>
      <w:r>
        <w:rPr>
          <w:rFonts w:hint="eastAsia"/>
        </w:rPr>
        <w:t>系统应提供还原数据库备份的功能。</w:t>
      </w:r>
    </w:p>
    <w:p w:rsidR="00957F2B" w:rsidRDefault="00957F2B" w:rsidP="002C5FC7">
      <w:pPr>
        <w:pStyle w:val="af5"/>
        <w:numPr>
          <w:ilvl w:val="0"/>
          <w:numId w:val="63"/>
        </w:numPr>
        <w:tabs>
          <w:tab w:val="clear" w:pos="426"/>
        </w:tabs>
        <w:spacing w:before="120" w:after="120"/>
      </w:pPr>
      <w:r>
        <w:rPr>
          <w:rFonts w:hint="eastAsia"/>
        </w:rPr>
        <w:t>若委托外部机构或人员代理提供系统的维护服务，应与其签订协议，并明确代理维护人的资质和职责。</w:t>
      </w:r>
    </w:p>
    <w:p w:rsidR="00E129B9" w:rsidRDefault="00C8010E">
      <w:pPr>
        <w:pStyle w:val="affc"/>
        <w:spacing w:before="240" w:after="240"/>
      </w:pPr>
      <w:r>
        <w:rPr>
          <w:rFonts w:hint="eastAsia"/>
        </w:rPr>
        <w:t>×××××</w:t>
      </w:r>
      <w:bookmarkEnd w:id="57"/>
    </w:p>
    <w:p w:rsidR="00E129B9" w:rsidRDefault="00C8010E">
      <w:pPr>
        <w:pStyle w:val="affd"/>
        <w:spacing w:before="120" w:after="120"/>
      </w:pPr>
      <w:bookmarkStart w:id="165" w:name="_Toc126681243"/>
      <w:r>
        <w:rPr>
          <w:rFonts w:hint="eastAsia"/>
        </w:rPr>
        <w:t>×××××</w:t>
      </w:r>
      <w:bookmarkEnd w:id="165"/>
    </w:p>
    <w:p w:rsidR="00E129B9" w:rsidRDefault="00C8010E">
      <w:pPr>
        <w:pStyle w:val="affe"/>
        <w:spacing w:before="120" w:after="120"/>
      </w:pPr>
      <w:r>
        <w:rPr>
          <w:rFonts w:hint="eastAsia"/>
        </w:rPr>
        <w:lastRenderedPageBreak/>
        <w:t>×××××</w:t>
      </w:r>
    </w:p>
    <w:p w:rsidR="00E129B9" w:rsidRDefault="00C8010E">
      <w:pPr>
        <w:pStyle w:val="affffe"/>
        <w:ind w:firstLine="420"/>
      </w:pPr>
      <w:r>
        <w:rPr>
          <w:rFonts w:hint="eastAsia"/>
        </w:rPr>
        <w:t>×××××</w:t>
      </w:r>
    </w:p>
    <w:p w:rsidR="00E129B9" w:rsidRDefault="00C8010E">
      <w:pPr>
        <w:pStyle w:val="affffe"/>
        <w:ind w:firstLineChars="0" w:firstLine="0"/>
        <w:jc w:val="center"/>
      </w:pPr>
      <w:bookmarkStart w:id="166" w:name="BookMark8"/>
      <w:bookmarkEnd w:id="25"/>
      <w:r>
        <w:rPr>
          <w:noProof/>
        </w:rPr>
        <w:drawing>
          <wp:inline distT="0" distB="0" distL="0" distR="0">
            <wp:extent cx="1485900" cy="317500"/>
            <wp:effectExtent l="0" t="0" r="0" b="6350"/>
            <wp:docPr id="3" name="图片 3"/>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8"/>
                    <a:stretch>
                      <a:fillRect/>
                    </a:stretch>
                  </pic:blipFill>
                  <pic:spPr>
                    <a:xfrm>
                      <a:off x="0" y="0"/>
                      <a:ext cx="1485900" cy="317500"/>
                    </a:xfrm>
                    <a:prstGeom prst="rect">
                      <a:avLst/>
                    </a:prstGeom>
                  </pic:spPr>
                </pic:pic>
              </a:graphicData>
            </a:graphic>
          </wp:inline>
        </w:drawing>
      </w:r>
      <w:bookmarkEnd w:id="166"/>
    </w:p>
    <w:sectPr w:rsidR="00E129B9">
      <w:pgSz w:w="11906" w:h="16838"/>
      <w:pgMar w:top="1928" w:right="1134" w:bottom="1134" w:left="1134" w:header="1418" w:footer="1134" w:gutter="284"/>
      <w:pgNumType w:start="1"/>
      <w:cols w:space="425"/>
      <w:formProt w:val="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5FC7" w:rsidRDefault="002C5FC7">
      <w:pPr>
        <w:spacing w:line="240" w:lineRule="auto"/>
      </w:pPr>
      <w:r>
        <w:separator/>
      </w:r>
    </w:p>
  </w:endnote>
  <w:endnote w:type="continuationSeparator" w:id="0">
    <w:p w:rsidR="002C5FC7" w:rsidRDefault="002C5FC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29B9" w:rsidRDefault="00C8010E">
    <w:pPr>
      <w:pStyle w:val="afffc"/>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29B9" w:rsidRDefault="00E129B9">
    <w:pPr>
      <w:pStyle w:val="afffc"/>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29B9" w:rsidRDefault="00C8010E">
    <w:pPr>
      <w:pStyle w:val="affffb"/>
    </w:pPr>
    <w:r>
      <w:fldChar w:fldCharType="begin"/>
    </w:r>
    <w:r>
      <w:instrText>PAGE   \* MERGEFORMAT</w:instrText>
    </w:r>
    <w:r>
      <w:fldChar w:fldCharType="separate"/>
    </w:r>
    <w:r w:rsidR="00EC7058" w:rsidRPr="00EC7058">
      <w:rPr>
        <w:noProof/>
        <w:lang w:val="zh-CN"/>
      </w:rPr>
      <w:t>10</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5FC7" w:rsidRDefault="002C5FC7">
      <w:pPr>
        <w:spacing w:line="240" w:lineRule="auto"/>
      </w:pPr>
      <w:r>
        <w:separator/>
      </w:r>
    </w:p>
  </w:footnote>
  <w:footnote w:type="continuationSeparator" w:id="0">
    <w:p w:rsidR="002C5FC7" w:rsidRDefault="002C5FC7">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29B9" w:rsidRDefault="00C8010E">
    <w:pPr>
      <w:pStyle w:val="afffd"/>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29B9" w:rsidRDefault="00E129B9">
    <w:pPr>
      <w:pStyle w:val="afffd"/>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29B9" w:rsidRDefault="00C8010E">
    <w:pPr>
      <w:pStyle w:val="afffd"/>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t>T/CPEA XXX—20XX</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29B9" w:rsidRDefault="00C8010E">
    <w:pPr>
      <w:pStyle w:val="afffff3"/>
    </w:pPr>
    <w:r>
      <w:fldChar w:fldCharType="begin"/>
    </w:r>
    <w:r>
      <w:instrText xml:space="preserve"> STYLEREF  标准文件_文件编号  \* MERGEFORMAT </w:instrText>
    </w:r>
    <w:r>
      <w:fldChar w:fldCharType="separate"/>
    </w:r>
    <w:r w:rsidR="00EC7058">
      <w:rPr>
        <w:noProof/>
      </w:rPr>
      <w:t>T/BPPA XXX</w:t>
    </w:r>
    <w:r w:rsidR="00EC7058">
      <w:rPr>
        <w:noProof/>
      </w:rPr>
      <w:t>—</w:t>
    </w:r>
    <w:r w:rsidR="00EC7058">
      <w:rPr>
        <w:noProof/>
      </w:rPr>
      <w:t>20XX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0C670245"/>
    <w:multiLevelType w:val="hybridMultilevel"/>
    <w:tmpl w:val="A1CC8288"/>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CE56600"/>
    <w:multiLevelType w:val="hybridMultilevel"/>
    <w:tmpl w:val="CA1056AA"/>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9">
    <w:nsid w:val="124F10F6"/>
    <w:multiLevelType w:val="hybridMultilevel"/>
    <w:tmpl w:val="C19E7C14"/>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736367C"/>
    <w:multiLevelType w:val="hybridMultilevel"/>
    <w:tmpl w:val="CA20BC4A"/>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13">
    <w:nsid w:val="1E2224A6"/>
    <w:multiLevelType w:val="hybridMultilevel"/>
    <w:tmpl w:val="7EB0C0C8"/>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1EA12D1F"/>
    <w:multiLevelType w:val="hybridMultilevel"/>
    <w:tmpl w:val="8BA01B5E"/>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6">
    <w:nsid w:val="230F2313"/>
    <w:multiLevelType w:val="hybridMultilevel"/>
    <w:tmpl w:val="8BE68E1A"/>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23A05CF3"/>
    <w:multiLevelType w:val="hybridMultilevel"/>
    <w:tmpl w:val="4BF2F7F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2A5D67D8"/>
    <w:multiLevelType w:val="hybridMultilevel"/>
    <w:tmpl w:val="11E26326"/>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20">
    <w:nsid w:val="2D542878"/>
    <w:multiLevelType w:val="hybridMultilevel"/>
    <w:tmpl w:val="5E182534"/>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2">
    <w:nsid w:val="33267655"/>
    <w:multiLevelType w:val="hybridMultilevel"/>
    <w:tmpl w:val="F1A02456"/>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3E8B2493"/>
    <w:multiLevelType w:val="hybridMultilevel"/>
    <w:tmpl w:val="914ECFC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3F277C53"/>
    <w:multiLevelType w:val="hybridMultilevel"/>
    <w:tmpl w:val="BC16183A"/>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3FD177B5"/>
    <w:multiLevelType w:val="hybridMultilevel"/>
    <w:tmpl w:val="7508140E"/>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421D1C9D"/>
    <w:multiLevelType w:val="hybridMultilevel"/>
    <w:tmpl w:val="E926D98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44C50F90"/>
    <w:multiLevelType w:val="multilevel"/>
    <w:tmpl w:val="44C50F90"/>
    <w:lvl w:ilvl="0">
      <w:start w:val="1"/>
      <w:numFmt w:val="lowerLetter"/>
      <w:pStyle w:val="af5"/>
      <w:lvlText w:val="%1)"/>
      <w:lvlJc w:val="left"/>
      <w:pPr>
        <w:tabs>
          <w:tab w:val="left" w:pos="426"/>
        </w:tabs>
        <w:ind w:left="426" w:hanging="426"/>
      </w:pPr>
      <w:rPr>
        <w:rFonts w:ascii="宋体" w:eastAsia="宋体" w:hAnsi="Times New Roman" w:hint="eastAsia"/>
        <w:sz w:val="21"/>
      </w:rPr>
    </w:lvl>
    <w:lvl w:ilvl="1">
      <w:start w:val="1"/>
      <w:numFmt w:val="decimal"/>
      <w:pStyle w:val="af6"/>
      <w:lvlText w:val="%2)"/>
      <w:lvlJc w:val="left"/>
      <w:pPr>
        <w:tabs>
          <w:tab w:val="left" w:pos="851"/>
        </w:tabs>
        <w:ind w:left="851" w:hanging="425"/>
      </w:pPr>
      <w:rPr>
        <w:rFonts w:ascii="宋体" w:eastAsia="宋体" w:hAnsi="Times New Roman" w:hint="eastAsia"/>
        <w:sz w:val="21"/>
      </w:rPr>
    </w:lvl>
    <w:lvl w:ilvl="2">
      <w:start w:val="1"/>
      <w:numFmt w:val="decimal"/>
      <w:pStyle w:val="af7"/>
      <w:lvlText w:val="(%3)"/>
      <w:lvlJc w:val="left"/>
      <w:pPr>
        <w:ind w:left="1276" w:hanging="425"/>
      </w:pPr>
      <w:rPr>
        <w:rFonts w:ascii="宋体" w:eastAsia="宋体" w:hAnsi="Times New Roman" w:hint="eastAsia"/>
        <w:sz w:val="21"/>
      </w:rPr>
    </w:lvl>
    <w:lvl w:ilvl="3">
      <w:start w:val="1"/>
      <w:numFmt w:val="decimal"/>
      <w:lvlText w:val="%4."/>
      <w:lvlJc w:val="left"/>
      <w:pPr>
        <w:tabs>
          <w:tab w:val="left" w:pos="1675"/>
        </w:tabs>
        <w:ind w:left="1674" w:hanging="419"/>
      </w:pPr>
      <w:rPr>
        <w:rFonts w:hint="eastAsia"/>
      </w:rPr>
    </w:lvl>
    <w:lvl w:ilvl="4">
      <w:start w:val="1"/>
      <w:numFmt w:val="lowerLetter"/>
      <w:lvlText w:val="%5)"/>
      <w:lvlJc w:val="left"/>
      <w:pPr>
        <w:tabs>
          <w:tab w:val="left" w:pos="2095"/>
        </w:tabs>
        <w:ind w:left="2094" w:hanging="419"/>
      </w:pPr>
      <w:rPr>
        <w:rFonts w:hint="eastAsia"/>
      </w:rPr>
    </w:lvl>
    <w:lvl w:ilvl="5">
      <w:start w:val="1"/>
      <w:numFmt w:val="lowerRoman"/>
      <w:lvlText w:val="%6."/>
      <w:lvlJc w:val="right"/>
      <w:pPr>
        <w:tabs>
          <w:tab w:val="left" w:pos="2515"/>
        </w:tabs>
        <w:ind w:left="2514" w:hanging="419"/>
      </w:pPr>
      <w:rPr>
        <w:rFonts w:hint="eastAsia"/>
      </w:rPr>
    </w:lvl>
    <w:lvl w:ilvl="6">
      <w:start w:val="1"/>
      <w:numFmt w:val="decimal"/>
      <w:lvlText w:val="%7."/>
      <w:lvlJc w:val="left"/>
      <w:pPr>
        <w:tabs>
          <w:tab w:val="left" w:pos="2935"/>
        </w:tabs>
        <w:ind w:left="2934" w:hanging="419"/>
      </w:pPr>
      <w:rPr>
        <w:rFonts w:hint="eastAsia"/>
      </w:rPr>
    </w:lvl>
    <w:lvl w:ilvl="7">
      <w:start w:val="1"/>
      <w:numFmt w:val="lowerLetter"/>
      <w:lvlText w:val="%8)"/>
      <w:lvlJc w:val="left"/>
      <w:pPr>
        <w:tabs>
          <w:tab w:val="left" w:pos="3355"/>
        </w:tabs>
        <w:ind w:left="3354" w:hanging="419"/>
      </w:pPr>
      <w:rPr>
        <w:rFonts w:hint="eastAsia"/>
      </w:rPr>
    </w:lvl>
    <w:lvl w:ilvl="8">
      <w:start w:val="1"/>
      <w:numFmt w:val="lowerRoman"/>
      <w:lvlText w:val="%9."/>
      <w:lvlJc w:val="right"/>
      <w:pPr>
        <w:tabs>
          <w:tab w:val="left" w:pos="3775"/>
        </w:tabs>
        <w:ind w:left="3774" w:hanging="419"/>
      </w:pPr>
      <w:rPr>
        <w:rFonts w:hint="eastAsia"/>
      </w:rPr>
    </w:lvl>
  </w:abstractNum>
  <w:abstractNum w:abstractNumId="28">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9">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1">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32">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3">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5">
    <w:nsid w:val="5B452604"/>
    <w:multiLevelType w:val="hybridMultilevel"/>
    <w:tmpl w:val="4254F526"/>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5CB37F48"/>
    <w:multiLevelType w:val="hybridMultilevel"/>
    <w:tmpl w:val="7D36F30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60E2144A"/>
    <w:multiLevelType w:val="hybridMultilevel"/>
    <w:tmpl w:val="3B50ED88"/>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60FC602F"/>
    <w:multiLevelType w:val="hybridMultilevel"/>
    <w:tmpl w:val="61D82DFC"/>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614012E1"/>
    <w:multiLevelType w:val="hybridMultilevel"/>
    <w:tmpl w:val="038A319A"/>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622E4495"/>
    <w:multiLevelType w:val="hybridMultilevel"/>
    <w:tmpl w:val="726293BC"/>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629B140E"/>
    <w:multiLevelType w:val="hybridMultilevel"/>
    <w:tmpl w:val="0036912C"/>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43">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44">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45">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46">
    <w:nsid w:val="662140D5"/>
    <w:multiLevelType w:val="hybridMultilevel"/>
    <w:tmpl w:val="D120542E"/>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48">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9">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71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51">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52">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53">
    <w:nsid w:val="6F8C1DFB"/>
    <w:multiLevelType w:val="hybridMultilevel"/>
    <w:tmpl w:val="E050069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nsid w:val="6FB24C88"/>
    <w:multiLevelType w:val="hybridMultilevel"/>
    <w:tmpl w:val="A9C8CF46"/>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nsid w:val="736538E5"/>
    <w:multiLevelType w:val="hybridMultilevel"/>
    <w:tmpl w:val="D2CC5966"/>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50"/>
  </w:num>
  <w:num w:numId="3">
    <w:abstractNumId w:val="5"/>
  </w:num>
  <w:num w:numId="4">
    <w:abstractNumId w:val="45"/>
  </w:num>
  <w:num w:numId="5">
    <w:abstractNumId w:val="33"/>
  </w:num>
  <w:num w:numId="6">
    <w:abstractNumId w:val="28"/>
  </w:num>
  <w:num w:numId="7">
    <w:abstractNumId w:val="12"/>
  </w:num>
  <w:num w:numId="8">
    <w:abstractNumId w:val="3"/>
  </w:num>
  <w:num w:numId="9">
    <w:abstractNumId w:val="15"/>
  </w:num>
  <w:num w:numId="10">
    <w:abstractNumId w:val="31"/>
  </w:num>
  <w:num w:numId="11">
    <w:abstractNumId w:val="48"/>
  </w:num>
  <w:num w:numId="12">
    <w:abstractNumId w:val="21"/>
  </w:num>
  <w:num w:numId="13">
    <w:abstractNumId w:val="27"/>
  </w:num>
  <w:num w:numId="14">
    <w:abstractNumId w:val="11"/>
  </w:num>
  <w:num w:numId="15">
    <w:abstractNumId w:val="34"/>
  </w:num>
  <w:num w:numId="16">
    <w:abstractNumId w:val="43"/>
  </w:num>
  <w:num w:numId="17">
    <w:abstractNumId w:val="32"/>
  </w:num>
  <w:num w:numId="18">
    <w:abstractNumId w:val="52"/>
  </w:num>
  <w:num w:numId="19">
    <w:abstractNumId w:val="30"/>
  </w:num>
  <w:num w:numId="20">
    <w:abstractNumId w:val="1"/>
  </w:num>
  <w:num w:numId="21">
    <w:abstractNumId w:val="19"/>
  </w:num>
  <w:num w:numId="22">
    <w:abstractNumId w:val="56"/>
  </w:num>
  <w:num w:numId="23">
    <w:abstractNumId w:val="42"/>
  </w:num>
  <w:num w:numId="24">
    <w:abstractNumId w:val="8"/>
  </w:num>
  <w:num w:numId="25">
    <w:abstractNumId w:val="49"/>
  </w:num>
  <w:num w:numId="26">
    <w:abstractNumId w:val="51"/>
  </w:num>
  <w:num w:numId="27">
    <w:abstractNumId w:val="2"/>
  </w:num>
  <w:num w:numId="28">
    <w:abstractNumId w:val="4"/>
  </w:num>
  <w:num w:numId="29">
    <w:abstractNumId w:val="29"/>
  </w:num>
  <w:num w:numId="30">
    <w:abstractNumId w:val="47"/>
  </w:num>
  <w:num w:numId="31">
    <w:abstractNumId w:val="44"/>
  </w:num>
  <w:num w:numId="3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0"/>
  </w:num>
  <w:num w:numId="39">
    <w:abstractNumId w:val="38"/>
  </w:num>
  <w:num w:numId="40">
    <w:abstractNumId w:val="25"/>
  </w:num>
  <w:num w:numId="41">
    <w:abstractNumId w:val="35"/>
  </w:num>
  <w:num w:numId="42">
    <w:abstractNumId w:val="55"/>
  </w:num>
  <w:num w:numId="43">
    <w:abstractNumId w:val="24"/>
  </w:num>
  <w:num w:numId="44">
    <w:abstractNumId w:val="17"/>
  </w:num>
  <w:num w:numId="45">
    <w:abstractNumId w:val="20"/>
  </w:num>
  <w:num w:numId="46">
    <w:abstractNumId w:val="54"/>
  </w:num>
  <w:num w:numId="47">
    <w:abstractNumId w:val="13"/>
  </w:num>
  <w:num w:numId="48">
    <w:abstractNumId w:val="16"/>
  </w:num>
  <w:num w:numId="49">
    <w:abstractNumId w:val="26"/>
  </w:num>
  <w:num w:numId="50">
    <w:abstractNumId w:val="9"/>
  </w:num>
  <w:num w:numId="51">
    <w:abstractNumId w:val="18"/>
  </w:num>
  <w:num w:numId="52">
    <w:abstractNumId w:val="41"/>
  </w:num>
  <w:num w:numId="53">
    <w:abstractNumId w:val="37"/>
  </w:num>
  <w:num w:numId="54">
    <w:abstractNumId w:val="36"/>
  </w:num>
  <w:num w:numId="55">
    <w:abstractNumId w:val="7"/>
  </w:num>
  <w:num w:numId="56">
    <w:abstractNumId w:val="22"/>
  </w:num>
  <w:num w:numId="57">
    <w:abstractNumId w:val="39"/>
  </w:num>
  <w:num w:numId="58">
    <w:abstractNumId w:val="10"/>
  </w:num>
  <w:num w:numId="59">
    <w:abstractNumId w:val="14"/>
  </w:num>
  <w:num w:numId="60">
    <w:abstractNumId w:val="23"/>
  </w:num>
  <w:num w:numId="61">
    <w:abstractNumId w:val="53"/>
  </w:num>
  <w:num w:numId="62">
    <w:abstractNumId w:val="46"/>
  </w:num>
  <w:num w:numId="63">
    <w:abstractNumId w:val="6"/>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attachedTemplate r:id="rId1"/>
  <w:documentProtection w:edit="forms" w:enforcement="1" w:cryptProviderType="rsaFull" w:cryptAlgorithmClass="hash" w:cryptAlgorithmType="typeAny" w:cryptAlgorithmSid="4" w:cryptSpinCount="100000" w:hash="aQ7uPk+9AzVGNLcVTHIkI+SHIEg=" w:salt="A/B73C/aZze0PMDyqdqopw=="/>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0NjgzZWVhOTRhZDQ0ZjU4ZmIyOWYzNjZlNTg5MWQifQ=="/>
  </w:docVars>
  <w:rsids>
    <w:rsidRoot w:val="00327A3F"/>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E7144"/>
    <w:rsid w:val="000F06E1"/>
    <w:rsid w:val="000F0E3C"/>
    <w:rsid w:val="000F19D5"/>
    <w:rsid w:val="000F4050"/>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15ADD"/>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57B12"/>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85F53"/>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5FC7"/>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27A3F"/>
    <w:rsid w:val="003331E4"/>
    <w:rsid w:val="00336C64"/>
    <w:rsid w:val="00337162"/>
    <w:rsid w:val="0034194F"/>
    <w:rsid w:val="00344605"/>
    <w:rsid w:val="003474AA"/>
    <w:rsid w:val="00350D1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1D1"/>
    <w:rsid w:val="003A1582"/>
    <w:rsid w:val="003A3D9C"/>
    <w:rsid w:val="003A4077"/>
    <w:rsid w:val="003A4AA7"/>
    <w:rsid w:val="003B07A5"/>
    <w:rsid w:val="003B09AD"/>
    <w:rsid w:val="003B1F18"/>
    <w:rsid w:val="003B5BF0"/>
    <w:rsid w:val="003B60BF"/>
    <w:rsid w:val="003B6BE3"/>
    <w:rsid w:val="003C010C"/>
    <w:rsid w:val="003C0A6C"/>
    <w:rsid w:val="003C14F8"/>
    <w:rsid w:val="003C5A43"/>
    <w:rsid w:val="003D0519"/>
    <w:rsid w:val="003D0FF6"/>
    <w:rsid w:val="003D262C"/>
    <w:rsid w:val="003D6D61"/>
    <w:rsid w:val="003E019F"/>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3741A"/>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A6A3D"/>
    <w:rsid w:val="004B0272"/>
    <w:rsid w:val="004B2701"/>
    <w:rsid w:val="004B2E1B"/>
    <w:rsid w:val="004B3AA8"/>
    <w:rsid w:val="004B3E93"/>
    <w:rsid w:val="004C1FBC"/>
    <w:rsid w:val="004C25A2"/>
    <w:rsid w:val="004C3F1D"/>
    <w:rsid w:val="004C458D"/>
    <w:rsid w:val="004C7556"/>
    <w:rsid w:val="004C7E8B"/>
    <w:rsid w:val="004C7E9D"/>
    <w:rsid w:val="004C7F67"/>
    <w:rsid w:val="004D076D"/>
    <w:rsid w:val="004D0EF1"/>
    <w:rsid w:val="004D2253"/>
    <w:rsid w:val="004D4406"/>
    <w:rsid w:val="004D7C42"/>
    <w:rsid w:val="004E0465"/>
    <w:rsid w:val="004E0726"/>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374E4"/>
    <w:rsid w:val="00541853"/>
    <w:rsid w:val="00543BDA"/>
    <w:rsid w:val="005441CC"/>
    <w:rsid w:val="005479DA"/>
    <w:rsid w:val="00547BCC"/>
    <w:rsid w:val="0055013B"/>
    <w:rsid w:val="00551F6F"/>
    <w:rsid w:val="00555044"/>
    <w:rsid w:val="00561475"/>
    <w:rsid w:val="00562308"/>
    <w:rsid w:val="0056487B"/>
    <w:rsid w:val="00564FB9"/>
    <w:rsid w:val="00573D9E"/>
    <w:rsid w:val="005760BC"/>
    <w:rsid w:val="005801E3"/>
    <w:rsid w:val="00581802"/>
    <w:rsid w:val="005836A8"/>
    <w:rsid w:val="0058409C"/>
    <w:rsid w:val="00584262"/>
    <w:rsid w:val="00586630"/>
    <w:rsid w:val="00586DE6"/>
    <w:rsid w:val="00587ADD"/>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D9C"/>
    <w:rsid w:val="005F284E"/>
    <w:rsid w:val="005F7BE9"/>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3962"/>
    <w:rsid w:val="006A07AA"/>
    <w:rsid w:val="006A25E5"/>
    <w:rsid w:val="006A2B46"/>
    <w:rsid w:val="006A336D"/>
    <w:rsid w:val="006A37B9"/>
    <w:rsid w:val="006B2672"/>
    <w:rsid w:val="006B54BF"/>
    <w:rsid w:val="006B5F44"/>
    <w:rsid w:val="006B5F90"/>
    <w:rsid w:val="006B62E4"/>
    <w:rsid w:val="006C1BBA"/>
    <w:rsid w:val="006C2079"/>
    <w:rsid w:val="006C3F15"/>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7669"/>
    <w:rsid w:val="00711CBA"/>
    <w:rsid w:val="00711FB5"/>
    <w:rsid w:val="00712A01"/>
    <w:rsid w:val="00714F58"/>
    <w:rsid w:val="007161A6"/>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5D3A"/>
    <w:rsid w:val="007A6FD9"/>
    <w:rsid w:val="007A7FFA"/>
    <w:rsid w:val="007B04EB"/>
    <w:rsid w:val="007B0D4F"/>
    <w:rsid w:val="007B5A3D"/>
    <w:rsid w:val="007B5B95"/>
    <w:rsid w:val="007B6032"/>
    <w:rsid w:val="007B68EA"/>
    <w:rsid w:val="007B7453"/>
    <w:rsid w:val="007C2D89"/>
    <w:rsid w:val="007C4593"/>
    <w:rsid w:val="007C5309"/>
    <w:rsid w:val="007C6069"/>
    <w:rsid w:val="007D06C4"/>
    <w:rsid w:val="007D0EB6"/>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1D19"/>
    <w:rsid w:val="00823303"/>
    <w:rsid w:val="008233B2"/>
    <w:rsid w:val="00823A9F"/>
    <w:rsid w:val="00823C85"/>
    <w:rsid w:val="00825138"/>
    <w:rsid w:val="008269DD"/>
    <w:rsid w:val="00830621"/>
    <w:rsid w:val="0083348C"/>
    <w:rsid w:val="0083458D"/>
    <w:rsid w:val="008373D3"/>
    <w:rsid w:val="00840617"/>
    <w:rsid w:val="00840F84"/>
    <w:rsid w:val="00842A47"/>
    <w:rsid w:val="00843C13"/>
    <w:rsid w:val="00843DEF"/>
    <w:rsid w:val="008454F8"/>
    <w:rsid w:val="0085173A"/>
    <w:rsid w:val="008603CE"/>
    <w:rsid w:val="008620FC"/>
    <w:rsid w:val="008621F8"/>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57E6"/>
    <w:rsid w:val="008A6F81"/>
    <w:rsid w:val="008A769A"/>
    <w:rsid w:val="008B0C9C"/>
    <w:rsid w:val="008B166D"/>
    <w:rsid w:val="008B17F4"/>
    <w:rsid w:val="008B3615"/>
    <w:rsid w:val="008B4AC4"/>
    <w:rsid w:val="008B50C8"/>
    <w:rsid w:val="008B5281"/>
    <w:rsid w:val="008B5EE8"/>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AE"/>
    <w:rsid w:val="009245F5"/>
    <w:rsid w:val="009249EC"/>
    <w:rsid w:val="009273B3"/>
    <w:rsid w:val="009305B5"/>
    <w:rsid w:val="009378DD"/>
    <w:rsid w:val="009429D5"/>
    <w:rsid w:val="00942BF1"/>
    <w:rsid w:val="00944598"/>
    <w:rsid w:val="00945180"/>
    <w:rsid w:val="00945428"/>
    <w:rsid w:val="0094607B"/>
    <w:rsid w:val="00953604"/>
    <w:rsid w:val="0095496B"/>
    <w:rsid w:val="00957F2B"/>
    <w:rsid w:val="00960F1E"/>
    <w:rsid w:val="009610DC"/>
    <w:rsid w:val="00961490"/>
    <w:rsid w:val="0096381A"/>
    <w:rsid w:val="00965E04"/>
    <w:rsid w:val="009674AD"/>
    <w:rsid w:val="00970CDC"/>
    <w:rsid w:val="00970E0C"/>
    <w:rsid w:val="00975727"/>
    <w:rsid w:val="00977010"/>
    <w:rsid w:val="00977D02"/>
    <w:rsid w:val="00977FF9"/>
    <w:rsid w:val="009809BB"/>
    <w:rsid w:val="0098364B"/>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584B"/>
    <w:rsid w:val="009B6029"/>
    <w:rsid w:val="009B6971"/>
    <w:rsid w:val="009C27F1"/>
    <w:rsid w:val="009C3152"/>
    <w:rsid w:val="009C3257"/>
    <w:rsid w:val="009C4CFA"/>
    <w:rsid w:val="009C5070"/>
    <w:rsid w:val="009D112C"/>
    <w:rsid w:val="009D1385"/>
    <w:rsid w:val="009D47FA"/>
    <w:rsid w:val="009D4C5B"/>
    <w:rsid w:val="009D50D2"/>
    <w:rsid w:val="009D6BCA"/>
    <w:rsid w:val="009E0F62"/>
    <w:rsid w:val="009E4A58"/>
    <w:rsid w:val="009E5A2D"/>
    <w:rsid w:val="009E5AB2"/>
    <w:rsid w:val="009E6219"/>
    <w:rsid w:val="009F03B3"/>
    <w:rsid w:val="009F6BBA"/>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3C67"/>
    <w:rsid w:val="00A3597D"/>
    <w:rsid w:val="00A36DD1"/>
    <w:rsid w:val="00A4006C"/>
    <w:rsid w:val="00A40091"/>
    <w:rsid w:val="00A4030F"/>
    <w:rsid w:val="00A41C79"/>
    <w:rsid w:val="00A41CB5"/>
    <w:rsid w:val="00A4274D"/>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2B5"/>
    <w:rsid w:val="00AE2A69"/>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0A74"/>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4FB1"/>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10E"/>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0BC1"/>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3618"/>
    <w:rsid w:val="00D66846"/>
    <w:rsid w:val="00D675FB"/>
    <w:rsid w:val="00D71F25"/>
    <w:rsid w:val="00D72A9C"/>
    <w:rsid w:val="00D77031"/>
    <w:rsid w:val="00D84941"/>
    <w:rsid w:val="00D84FA1"/>
    <w:rsid w:val="00D851F0"/>
    <w:rsid w:val="00D86DB7"/>
    <w:rsid w:val="00D87BF5"/>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07D55"/>
    <w:rsid w:val="00E11A85"/>
    <w:rsid w:val="00E12495"/>
    <w:rsid w:val="00E129B9"/>
    <w:rsid w:val="00E15CCD"/>
    <w:rsid w:val="00E202EF"/>
    <w:rsid w:val="00E210B5"/>
    <w:rsid w:val="00E2552F"/>
    <w:rsid w:val="00E3137A"/>
    <w:rsid w:val="00E32CCF"/>
    <w:rsid w:val="00E34A98"/>
    <w:rsid w:val="00E35C38"/>
    <w:rsid w:val="00E35D1E"/>
    <w:rsid w:val="00E364F9"/>
    <w:rsid w:val="00E365FA"/>
    <w:rsid w:val="00E36789"/>
    <w:rsid w:val="00E44A83"/>
    <w:rsid w:val="00E44E7A"/>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31ED"/>
    <w:rsid w:val="00EB5EDF"/>
    <w:rsid w:val="00EB60FE"/>
    <w:rsid w:val="00EB74DB"/>
    <w:rsid w:val="00EC5359"/>
    <w:rsid w:val="00EC562A"/>
    <w:rsid w:val="00EC5823"/>
    <w:rsid w:val="00EC7058"/>
    <w:rsid w:val="00ED067A"/>
    <w:rsid w:val="00ED2B50"/>
    <w:rsid w:val="00EE0350"/>
    <w:rsid w:val="00EE0719"/>
    <w:rsid w:val="00EE0E80"/>
    <w:rsid w:val="00EE613F"/>
    <w:rsid w:val="00EE7295"/>
    <w:rsid w:val="00EE7869"/>
    <w:rsid w:val="00EF054A"/>
    <w:rsid w:val="00EF3235"/>
    <w:rsid w:val="00EF7E72"/>
    <w:rsid w:val="00F00AA2"/>
    <w:rsid w:val="00F06D37"/>
    <w:rsid w:val="00F07B9D"/>
    <w:rsid w:val="00F11586"/>
    <w:rsid w:val="00F1183B"/>
    <w:rsid w:val="00F11C9F"/>
    <w:rsid w:val="00F12263"/>
    <w:rsid w:val="00F1409D"/>
    <w:rsid w:val="00F14214"/>
    <w:rsid w:val="00F157A9"/>
    <w:rsid w:val="00F16F00"/>
    <w:rsid w:val="00F20B92"/>
    <w:rsid w:val="00F25BB6"/>
    <w:rsid w:val="00F26B7E"/>
    <w:rsid w:val="00F27A3B"/>
    <w:rsid w:val="00F32780"/>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05F"/>
    <w:rsid w:val="00F833BA"/>
    <w:rsid w:val="00F84FD0"/>
    <w:rsid w:val="00F859A8"/>
    <w:rsid w:val="00F86D87"/>
    <w:rsid w:val="00F9108B"/>
    <w:rsid w:val="00F91349"/>
    <w:rsid w:val="00F92735"/>
    <w:rsid w:val="00F93A8A"/>
    <w:rsid w:val="00F95248"/>
    <w:rsid w:val="00F956A9"/>
    <w:rsid w:val="00F963ED"/>
    <w:rsid w:val="00F966CF"/>
    <w:rsid w:val="00F96CAE"/>
    <w:rsid w:val="00F97C99"/>
    <w:rsid w:val="00FA662D"/>
    <w:rsid w:val="00FA73B1"/>
    <w:rsid w:val="00FA7D12"/>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33A6326"/>
    <w:rsid w:val="56A70B25"/>
    <w:rsid w:val="6CE141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2C5802B5-3FBC-47EB-AE90-E3F49348B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qFormat/>
    <w:pPr>
      <w:widowControl w:val="0"/>
      <w:adjustRightInd w:val="0"/>
      <w:spacing w:line="400" w:lineRule="exact"/>
      <w:jc w:val="both"/>
    </w:pPr>
    <w:rPr>
      <w:kern w:val="2"/>
      <w:sz w:val="21"/>
      <w:szCs w:val="21"/>
    </w:rPr>
  </w:style>
  <w:style w:type="paragraph" w:styleId="1">
    <w:name w:val="heading 1"/>
    <w:basedOn w:val="afff5"/>
    <w:next w:val="afff5"/>
    <w:link w:val="1Char"/>
    <w:qFormat/>
    <w:pPr>
      <w:keepNext/>
      <w:keepLines/>
      <w:spacing w:before="340" w:after="330" w:line="578" w:lineRule="auto"/>
      <w:outlineLvl w:val="0"/>
    </w:pPr>
    <w:rPr>
      <w:b/>
      <w:bCs/>
      <w:kern w:val="44"/>
      <w:sz w:val="44"/>
      <w:szCs w:val="44"/>
    </w:rPr>
  </w:style>
  <w:style w:type="paragraph" w:styleId="22">
    <w:name w:val="heading 2"/>
    <w:basedOn w:val="afff5"/>
    <w:next w:val="afff5"/>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pPr>
      <w:keepNext/>
      <w:keepLines/>
      <w:spacing w:before="260" w:after="260" w:line="416" w:lineRule="auto"/>
      <w:outlineLvl w:val="2"/>
    </w:pPr>
    <w:rPr>
      <w:b/>
      <w:bCs/>
      <w:sz w:val="32"/>
      <w:szCs w:val="32"/>
    </w:rPr>
  </w:style>
  <w:style w:type="paragraph" w:styleId="4">
    <w:name w:val="heading 4"/>
    <w:basedOn w:val="afff5"/>
    <w:next w:val="afff5"/>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70">
    <w:name w:val="toc 7"/>
    <w:basedOn w:val="afff5"/>
    <w:next w:val="afff5"/>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Body Text"/>
    <w:basedOn w:val="afff5"/>
    <w:link w:val="Char"/>
    <w:qFormat/>
    <w:pPr>
      <w:spacing w:after="120"/>
    </w:pPr>
  </w:style>
  <w:style w:type="paragraph" w:styleId="50">
    <w:name w:val="toc 5"/>
    <w:basedOn w:val="afff5"/>
    <w:next w:val="afff5"/>
    <w:uiPriority w:val="39"/>
    <w:unhideWhenUsed/>
    <w:qFormat/>
    <w:pPr>
      <w:ind w:left="839"/>
    </w:pPr>
    <w:rPr>
      <w:rFonts w:ascii="宋体"/>
    </w:rPr>
  </w:style>
  <w:style w:type="paragraph" w:styleId="30">
    <w:name w:val="toc 3"/>
    <w:basedOn w:val="afff5"/>
    <w:next w:val="afff5"/>
    <w:uiPriority w:val="39"/>
    <w:unhideWhenUsed/>
    <w:qFormat/>
    <w:pPr>
      <w:spacing w:line="300" w:lineRule="exact"/>
      <w:ind w:left="420"/>
    </w:pPr>
    <w:rPr>
      <w:rFonts w:ascii="宋体"/>
    </w:rPr>
  </w:style>
  <w:style w:type="paragraph" w:styleId="afffb">
    <w:name w:val="Balloon Text"/>
    <w:basedOn w:val="afff5"/>
    <w:link w:val="Char0"/>
    <w:uiPriority w:val="99"/>
    <w:semiHidden/>
    <w:unhideWhenUsed/>
    <w:qFormat/>
    <w:rPr>
      <w:sz w:val="18"/>
      <w:szCs w:val="18"/>
    </w:rPr>
  </w:style>
  <w:style w:type="paragraph" w:styleId="afffc">
    <w:name w:val="footer"/>
    <w:basedOn w:val="afff5"/>
    <w:link w:val="Char1"/>
    <w:uiPriority w:val="99"/>
    <w:qFormat/>
    <w:pPr>
      <w:tabs>
        <w:tab w:val="center" w:pos="4153"/>
        <w:tab w:val="right" w:pos="8306"/>
      </w:tabs>
      <w:adjustRightInd/>
      <w:snapToGrid w:val="0"/>
      <w:spacing w:line="240" w:lineRule="auto"/>
      <w:jc w:val="right"/>
    </w:pPr>
    <w:rPr>
      <w:rFonts w:ascii="宋体"/>
      <w:sz w:val="18"/>
      <w:szCs w:val="18"/>
    </w:rPr>
  </w:style>
  <w:style w:type="paragraph" w:styleId="afffd">
    <w:name w:val="header"/>
    <w:basedOn w:val="afff5"/>
    <w:link w:val="Char2"/>
    <w:uiPriority w:val="99"/>
    <w:qFormat/>
    <w:pPr>
      <w:tabs>
        <w:tab w:val="center" w:pos="4153"/>
        <w:tab w:val="right" w:pos="8306"/>
      </w:tabs>
      <w:adjustRightInd/>
      <w:snapToGrid w:val="0"/>
      <w:jc w:val="center"/>
    </w:pPr>
    <w:rPr>
      <w:sz w:val="18"/>
      <w:szCs w:val="18"/>
    </w:rPr>
  </w:style>
  <w:style w:type="paragraph" w:styleId="10">
    <w:name w:val="toc 1"/>
    <w:basedOn w:val="afff5"/>
    <w:next w:val="afff5"/>
    <w:uiPriority w:val="39"/>
    <w:unhideWhenUsed/>
    <w:qFormat/>
    <w:rPr>
      <w:rFonts w:ascii="宋体"/>
    </w:rPr>
  </w:style>
  <w:style w:type="paragraph" w:styleId="40">
    <w:name w:val="toc 4"/>
    <w:basedOn w:val="afff5"/>
    <w:next w:val="afff5"/>
    <w:uiPriority w:val="39"/>
    <w:unhideWhenUsed/>
    <w:qFormat/>
    <w:pPr>
      <w:tabs>
        <w:tab w:val="right" w:leader="dot" w:pos="9344"/>
      </w:tabs>
      <w:spacing w:line="300" w:lineRule="exact"/>
      <w:ind w:left="629"/>
    </w:pPr>
    <w:rPr>
      <w:rFonts w:ascii="宋体"/>
    </w:rPr>
  </w:style>
  <w:style w:type="paragraph" w:styleId="afffe">
    <w:name w:val="footnote text"/>
    <w:basedOn w:val="afff5"/>
    <w:next w:val="afff5"/>
    <w:link w:val="Char3"/>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5"/>
    <w:next w:val="afff5"/>
    <w:uiPriority w:val="39"/>
    <w:unhideWhenUsed/>
    <w:qFormat/>
    <w:pPr>
      <w:spacing w:line="300" w:lineRule="exact"/>
      <w:ind w:left="1049"/>
    </w:pPr>
    <w:rPr>
      <w:rFonts w:ascii="宋体"/>
    </w:rPr>
  </w:style>
  <w:style w:type="paragraph" w:styleId="affff">
    <w:name w:val="table of figures"/>
    <w:basedOn w:val="afff5"/>
    <w:next w:val="afff5"/>
    <w:semiHidden/>
    <w:qFormat/>
    <w:pPr>
      <w:adjustRightInd/>
      <w:spacing w:line="240" w:lineRule="auto"/>
      <w:jc w:val="left"/>
    </w:pPr>
    <w:rPr>
      <w:szCs w:val="24"/>
    </w:rPr>
  </w:style>
  <w:style w:type="paragraph" w:styleId="23">
    <w:name w:val="toc 2"/>
    <w:basedOn w:val="afff5"/>
    <w:next w:val="afff5"/>
    <w:uiPriority w:val="39"/>
    <w:unhideWhenUsed/>
    <w:qFormat/>
    <w:pPr>
      <w:tabs>
        <w:tab w:val="right" w:leader="dot" w:pos="9344"/>
      </w:tabs>
      <w:spacing w:line="300" w:lineRule="exact"/>
      <w:ind w:left="210"/>
    </w:pPr>
    <w:rPr>
      <w:rFonts w:ascii="宋体"/>
    </w:rPr>
  </w:style>
  <w:style w:type="paragraph" w:styleId="affff0">
    <w:name w:val="Title"/>
    <w:basedOn w:val="afff5"/>
    <w:link w:val="Char4"/>
    <w:qFormat/>
    <w:pPr>
      <w:spacing w:before="240" w:after="60"/>
      <w:jc w:val="center"/>
      <w:outlineLvl w:val="0"/>
    </w:pPr>
    <w:rPr>
      <w:rFonts w:ascii="Arial" w:hAnsi="Arial" w:cs="Arial"/>
      <w:b/>
      <w:bCs/>
      <w:sz w:val="32"/>
      <w:szCs w:val="32"/>
    </w:rPr>
  </w:style>
  <w:style w:type="table" w:styleId="affff1">
    <w:name w:val="Table Grid"/>
    <w:basedOn w:val="afff7"/>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2">
    <w:name w:val="Strong"/>
    <w:uiPriority w:val="22"/>
    <w:qFormat/>
    <w:rPr>
      <w:b/>
      <w:bCs/>
    </w:rPr>
  </w:style>
  <w:style w:type="character" w:styleId="affff3">
    <w:name w:val="page number"/>
    <w:qFormat/>
    <w:rPr>
      <w:rFonts w:ascii="宋体" w:eastAsia="宋体" w:hAnsi="Times New Roman"/>
      <w:sz w:val="18"/>
    </w:rPr>
  </w:style>
  <w:style w:type="character" w:styleId="affff4">
    <w:name w:val="Emphasis"/>
    <w:uiPriority w:val="20"/>
    <w:qFormat/>
    <w:rPr>
      <w:i/>
      <w:iCs/>
    </w:rPr>
  </w:style>
  <w:style w:type="character" w:styleId="affff5">
    <w:name w:val="Hyperlink"/>
    <w:uiPriority w:val="99"/>
    <w:qFormat/>
    <w:rPr>
      <w:rFonts w:ascii="宋体" w:eastAsia="宋体" w:hAnsi="Times New Roman"/>
      <w:color w:val="auto"/>
      <w:spacing w:val="0"/>
      <w:w w:val="100"/>
      <w:position w:val="0"/>
      <w:sz w:val="21"/>
      <w:u w:val="none"/>
      <w:vertAlign w:val="baseline"/>
    </w:rPr>
  </w:style>
  <w:style w:type="character" w:styleId="affff6">
    <w:name w:val="footnote reference"/>
    <w:semiHidden/>
    <w:qFormat/>
    <w:rPr>
      <w:rFonts w:ascii="宋体" w:eastAsia="宋体" w:hAnsi="宋体" w:cs="Times New Roman"/>
      <w:spacing w:val="0"/>
      <w:sz w:val="18"/>
      <w:vertAlign w:val="superscript"/>
    </w:rPr>
  </w:style>
  <w:style w:type="character" w:customStyle="1" w:styleId="1Char">
    <w:name w:val="标题 1 Char"/>
    <w:link w:val="1"/>
    <w:qFormat/>
    <w:rPr>
      <w:b/>
      <w:bCs/>
      <w:kern w:val="44"/>
      <w:sz w:val="44"/>
      <w:szCs w:val="44"/>
    </w:rPr>
  </w:style>
  <w:style w:type="character" w:customStyle="1" w:styleId="2Char">
    <w:name w:val="标题 2 Char"/>
    <w:link w:val="22"/>
    <w:qFormat/>
    <w:rPr>
      <w:rFonts w:ascii="Arial" w:eastAsia="黑体" w:hAnsi="Arial"/>
      <w:b/>
      <w:bCs/>
      <w:kern w:val="2"/>
      <w:sz w:val="32"/>
      <w:szCs w:val="32"/>
    </w:rPr>
  </w:style>
  <w:style w:type="character" w:customStyle="1" w:styleId="3Char">
    <w:name w:val="标题 3 Char"/>
    <w:link w:val="3"/>
    <w:qFormat/>
    <w:rPr>
      <w:b/>
      <w:bCs/>
      <w:kern w:val="2"/>
      <w:sz w:val="32"/>
      <w:szCs w:val="32"/>
    </w:rPr>
  </w:style>
  <w:style w:type="character" w:customStyle="1" w:styleId="4Char">
    <w:name w:val="标题 4 Char"/>
    <w:link w:val="4"/>
    <w:qFormat/>
    <w:rPr>
      <w:rFonts w:ascii="Arial" w:eastAsia="黑体" w:hAnsi="Arial"/>
      <w:b/>
      <w:bCs/>
      <w:kern w:val="2"/>
      <w:sz w:val="28"/>
      <w:szCs w:val="28"/>
    </w:rPr>
  </w:style>
  <w:style w:type="character" w:customStyle="1" w:styleId="5Char">
    <w:name w:val="标题 5 Char"/>
    <w:link w:val="5"/>
    <w:qFormat/>
    <w:rPr>
      <w:b/>
      <w:bCs/>
      <w:kern w:val="2"/>
      <w:sz w:val="28"/>
      <w:szCs w:val="28"/>
    </w:rPr>
  </w:style>
  <w:style w:type="character" w:customStyle="1" w:styleId="6Char">
    <w:name w:val="标题 6 Char"/>
    <w:link w:val="6"/>
    <w:qFormat/>
    <w:rPr>
      <w:rFonts w:ascii="Arial" w:eastAsia="黑体" w:hAnsi="Arial"/>
      <w:b/>
      <w:bCs/>
      <w:kern w:val="2"/>
      <w:sz w:val="24"/>
      <w:szCs w:val="24"/>
    </w:rPr>
  </w:style>
  <w:style w:type="character" w:customStyle="1" w:styleId="7Char">
    <w:name w:val="标题 7 Char"/>
    <w:link w:val="7"/>
    <w:qFormat/>
    <w:rPr>
      <w:b/>
      <w:bCs/>
      <w:kern w:val="2"/>
      <w:sz w:val="24"/>
      <w:szCs w:val="24"/>
    </w:rPr>
  </w:style>
  <w:style w:type="character" w:customStyle="1" w:styleId="8Char">
    <w:name w:val="标题 8 Char"/>
    <w:link w:val="8"/>
    <w:qFormat/>
    <w:rPr>
      <w:rFonts w:ascii="Arial" w:eastAsia="黑体" w:hAnsi="Arial"/>
      <w:kern w:val="2"/>
      <w:sz w:val="24"/>
      <w:szCs w:val="24"/>
    </w:rPr>
  </w:style>
  <w:style w:type="character" w:customStyle="1" w:styleId="9Char">
    <w:name w:val="标题 9 Char"/>
    <w:link w:val="9"/>
    <w:qFormat/>
    <w:rPr>
      <w:rFonts w:ascii="Arial" w:eastAsia="黑体" w:hAnsi="Arial"/>
      <w:kern w:val="2"/>
      <w:sz w:val="21"/>
      <w:szCs w:val="21"/>
    </w:rPr>
  </w:style>
  <w:style w:type="character" w:customStyle="1" w:styleId="Char2">
    <w:name w:val="页眉 Char"/>
    <w:link w:val="afffd"/>
    <w:uiPriority w:val="99"/>
    <w:qFormat/>
    <w:rPr>
      <w:kern w:val="2"/>
      <w:sz w:val="18"/>
      <w:szCs w:val="18"/>
    </w:rPr>
  </w:style>
  <w:style w:type="character" w:customStyle="1" w:styleId="Char1">
    <w:name w:val="页脚 Char"/>
    <w:link w:val="afffc"/>
    <w:uiPriority w:val="99"/>
    <w:qFormat/>
    <w:rPr>
      <w:rFonts w:ascii="宋体"/>
      <w:kern w:val="2"/>
      <w:sz w:val="18"/>
      <w:szCs w:val="18"/>
    </w:rPr>
  </w:style>
  <w:style w:type="character" w:customStyle="1" w:styleId="Char0">
    <w:name w:val="批注框文本 Char"/>
    <w:link w:val="afffb"/>
    <w:uiPriority w:val="99"/>
    <w:semiHidden/>
    <w:qFormat/>
    <w:rPr>
      <w:kern w:val="2"/>
      <w:sz w:val="18"/>
      <w:szCs w:val="18"/>
    </w:rPr>
  </w:style>
  <w:style w:type="paragraph" w:styleId="affff7">
    <w:name w:val="Quote"/>
    <w:basedOn w:val="afff5"/>
    <w:next w:val="afff5"/>
    <w:link w:val="Char5"/>
    <w:uiPriority w:val="29"/>
    <w:qFormat/>
    <w:rPr>
      <w:i/>
      <w:iCs/>
      <w:color w:val="000000"/>
    </w:rPr>
  </w:style>
  <w:style w:type="character" w:customStyle="1" w:styleId="Char5">
    <w:name w:val="引用 Char"/>
    <w:link w:val="affff7"/>
    <w:uiPriority w:val="29"/>
    <w:qFormat/>
    <w:rPr>
      <w:i/>
      <w:iCs/>
      <w:color w:val="000000"/>
      <w:kern w:val="2"/>
      <w:sz w:val="21"/>
      <w:szCs w:val="21"/>
    </w:rPr>
  </w:style>
  <w:style w:type="character" w:customStyle="1" w:styleId="Char4">
    <w:name w:val="标题 Char"/>
    <w:link w:val="affff0"/>
    <w:qFormat/>
    <w:rPr>
      <w:rFonts w:ascii="Arial" w:hAnsi="Arial" w:cs="Arial"/>
      <w:b/>
      <w:bCs/>
      <w:kern w:val="2"/>
      <w:sz w:val="32"/>
      <w:szCs w:val="32"/>
    </w:rPr>
  </w:style>
  <w:style w:type="paragraph" w:customStyle="1" w:styleId="affff8">
    <w:name w:val="标准标志"/>
    <w:next w:val="afff5"/>
    <w:qFormat/>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9">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a">
    <w:name w:val="标准文件_页脚偶数页"/>
    <w:qFormat/>
    <w:pPr>
      <w:ind w:left="198"/>
    </w:pPr>
    <w:rPr>
      <w:rFonts w:ascii="宋体" w:hAnsi="Times New Roman"/>
      <w:sz w:val="18"/>
    </w:rPr>
  </w:style>
  <w:style w:type="paragraph" w:customStyle="1" w:styleId="affffb">
    <w:name w:val="标准文件_页脚奇数页"/>
    <w:qFormat/>
    <w:pPr>
      <w:ind w:right="227"/>
      <w:jc w:val="right"/>
    </w:pPr>
    <w:rPr>
      <w:rFonts w:ascii="宋体" w:hAnsi="Times New Roman"/>
      <w:sz w:val="18"/>
    </w:rPr>
  </w:style>
  <w:style w:type="paragraph" w:customStyle="1" w:styleId="affffc">
    <w:name w:val="标准书眉一"/>
    <w:qFormat/>
    <w:pPr>
      <w:jc w:val="both"/>
    </w:pPr>
    <w:rPr>
      <w:rFonts w:ascii="Times New Roman" w:hAnsi="Times New Roman"/>
    </w:rPr>
  </w:style>
  <w:style w:type="paragraph" w:customStyle="1" w:styleId="ICS">
    <w:name w:val="标准文件_ICS"/>
    <w:basedOn w:val="afff5"/>
    <w:qFormat/>
    <w:pPr>
      <w:spacing w:line="0" w:lineRule="atLeast"/>
    </w:pPr>
    <w:rPr>
      <w:rFonts w:ascii="黑体" w:eastAsia="黑体" w:hAnsi="宋体"/>
    </w:rPr>
  </w:style>
  <w:style w:type="paragraph" w:customStyle="1" w:styleId="affffd">
    <w:name w:val="标准文件_标准正文"/>
    <w:basedOn w:val="afff5"/>
    <w:next w:val="affffe"/>
    <w:qFormat/>
    <w:pPr>
      <w:snapToGrid w:val="0"/>
      <w:ind w:firstLineChars="200" w:firstLine="200"/>
    </w:pPr>
    <w:rPr>
      <w:kern w:val="0"/>
    </w:rPr>
  </w:style>
  <w:style w:type="paragraph" w:customStyle="1" w:styleId="affffe">
    <w:name w:val="标准文件_段"/>
    <w:link w:val="Char6"/>
    <w:qFormat/>
    <w:pPr>
      <w:autoSpaceDE w:val="0"/>
      <w:autoSpaceDN w:val="0"/>
      <w:ind w:firstLineChars="200" w:firstLine="200"/>
      <w:jc w:val="both"/>
    </w:pPr>
    <w:rPr>
      <w:rFonts w:ascii="宋体" w:hAnsi="Times New Roman"/>
      <w:sz w:val="21"/>
    </w:rPr>
  </w:style>
  <w:style w:type="paragraph" w:customStyle="1" w:styleId="afffff">
    <w:name w:val="标准文件_版本"/>
    <w:basedOn w:val="affffd"/>
    <w:qFormat/>
    <w:pPr>
      <w:adjustRightInd/>
      <w:snapToGrid/>
      <w:ind w:firstLineChars="0" w:firstLine="0"/>
    </w:pPr>
    <w:rPr>
      <w:rFonts w:ascii="宋体" w:hAnsi="宋体"/>
      <w:kern w:val="2"/>
    </w:rPr>
  </w:style>
  <w:style w:type="paragraph" w:customStyle="1" w:styleId="afffff0">
    <w:name w:val="标准文件_标准部门"/>
    <w:basedOn w:val="afff5"/>
    <w:qFormat/>
    <w:pPr>
      <w:jc w:val="center"/>
    </w:pPr>
    <w:rPr>
      <w:rFonts w:ascii="黑体" w:eastAsia="黑体"/>
      <w:kern w:val="0"/>
      <w:sz w:val="44"/>
    </w:rPr>
  </w:style>
  <w:style w:type="paragraph" w:customStyle="1" w:styleId="afffff1">
    <w:name w:val="标准文件_标准代替"/>
    <w:basedOn w:val="afff5"/>
    <w:next w:val="afff5"/>
    <w:qFormat/>
    <w:pPr>
      <w:spacing w:line="310" w:lineRule="exact"/>
      <w:jc w:val="right"/>
    </w:pPr>
    <w:rPr>
      <w:rFonts w:ascii="宋体" w:hAnsi="宋体"/>
      <w:kern w:val="0"/>
    </w:rPr>
  </w:style>
  <w:style w:type="paragraph" w:customStyle="1" w:styleId="afffff2">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3">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4">
    <w:name w:val="标准文件_页眉偶数页"/>
    <w:basedOn w:val="afffff3"/>
    <w:next w:val="afff5"/>
    <w:qFormat/>
    <w:pPr>
      <w:jc w:val="left"/>
    </w:pPr>
  </w:style>
  <w:style w:type="paragraph" w:customStyle="1" w:styleId="afffff5">
    <w:name w:val="标准文件_参考文献标题"/>
    <w:basedOn w:val="afff5"/>
    <w:next w:val="afff5"/>
    <w:qFormat/>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hAnsi="Times New Roman"/>
    </w:rPr>
  </w:style>
  <w:style w:type="paragraph" w:customStyle="1" w:styleId="affe">
    <w:name w:val="标准文件_二级条标题"/>
    <w:next w:val="affffe"/>
    <w:qFormat/>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6">
    <w:name w:val="标准文件_发布"/>
    <w:qFormat/>
    <w:rPr>
      <w:rFonts w:ascii="黑体" w:eastAsia="黑体"/>
      <w:spacing w:val="0"/>
      <w:w w:val="100"/>
      <w:position w:val="3"/>
      <w:sz w:val="28"/>
    </w:rPr>
  </w:style>
  <w:style w:type="paragraph" w:customStyle="1" w:styleId="ad">
    <w:name w:val="标准文件_方框数字列项"/>
    <w:basedOn w:val="affffe"/>
    <w:qFormat/>
    <w:pPr>
      <w:numPr>
        <w:numId w:val="3"/>
      </w:numPr>
      <w:ind w:firstLineChars="0" w:firstLine="0"/>
    </w:pPr>
  </w:style>
  <w:style w:type="paragraph" w:customStyle="1" w:styleId="afffff7">
    <w:name w:val="标准文件_封面标准编号"/>
    <w:basedOn w:val="afff5"/>
    <w:next w:val="afffff1"/>
    <w:qFormat/>
    <w:pPr>
      <w:spacing w:line="310" w:lineRule="exact"/>
      <w:jc w:val="right"/>
    </w:pPr>
    <w:rPr>
      <w:rFonts w:ascii="黑体" w:eastAsia="黑体"/>
      <w:kern w:val="0"/>
      <w:sz w:val="28"/>
    </w:rPr>
  </w:style>
  <w:style w:type="paragraph" w:customStyle="1" w:styleId="afffff8">
    <w:name w:val="标准文件_封面标准分类号"/>
    <w:basedOn w:val="afff5"/>
    <w:qFormat/>
    <w:rPr>
      <w:rFonts w:ascii="黑体" w:eastAsia="黑体"/>
      <w:b/>
      <w:kern w:val="0"/>
      <w:sz w:val="28"/>
    </w:rPr>
  </w:style>
  <w:style w:type="paragraph" w:customStyle="1" w:styleId="afffff9">
    <w:name w:val="标准文件_封面标准名称"/>
    <w:basedOn w:val="afff5"/>
    <w:qFormat/>
    <w:pPr>
      <w:spacing w:line="240" w:lineRule="auto"/>
      <w:jc w:val="center"/>
    </w:pPr>
    <w:rPr>
      <w:rFonts w:ascii="黑体" w:eastAsia="黑体"/>
      <w:kern w:val="0"/>
      <w:sz w:val="52"/>
    </w:rPr>
  </w:style>
  <w:style w:type="paragraph" w:customStyle="1" w:styleId="afffffa">
    <w:name w:val="标准文件_封面标准英文名称"/>
    <w:basedOn w:val="afff5"/>
    <w:qFormat/>
    <w:pPr>
      <w:spacing w:line="240" w:lineRule="auto"/>
      <w:jc w:val="center"/>
    </w:pPr>
    <w:rPr>
      <w:rFonts w:ascii="黑体" w:eastAsia="黑体"/>
      <w:b/>
      <w:sz w:val="28"/>
    </w:rPr>
  </w:style>
  <w:style w:type="paragraph" w:customStyle="1" w:styleId="afffffb">
    <w:name w:val="标准文件_封面发布日期"/>
    <w:basedOn w:val="afff5"/>
    <w:qFormat/>
    <w:pPr>
      <w:spacing w:line="310" w:lineRule="exact"/>
    </w:pPr>
    <w:rPr>
      <w:rFonts w:ascii="黑体" w:eastAsia="黑体"/>
      <w:kern w:val="0"/>
      <w:sz w:val="28"/>
    </w:rPr>
  </w:style>
  <w:style w:type="paragraph" w:customStyle="1" w:styleId="afffffc">
    <w:name w:val="标准文件_封面密级"/>
    <w:basedOn w:val="afff5"/>
    <w:qFormat/>
    <w:rPr>
      <w:rFonts w:eastAsia="黑体"/>
      <w:sz w:val="32"/>
    </w:rPr>
  </w:style>
  <w:style w:type="paragraph" w:customStyle="1" w:styleId="afffffd">
    <w:name w:val="标准文件_封面实施日期"/>
    <w:basedOn w:val="afff5"/>
    <w:qFormat/>
    <w:pPr>
      <w:spacing w:line="310" w:lineRule="exact"/>
      <w:jc w:val="right"/>
    </w:pPr>
    <w:rPr>
      <w:rFonts w:ascii="黑体" w:eastAsia="黑体"/>
      <w:sz w:val="28"/>
    </w:rPr>
  </w:style>
  <w:style w:type="paragraph" w:customStyle="1" w:styleId="afffffe">
    <w:name w:val="标准文件_封面抬头"/>
    <w:basedOn w:val="affffe"/>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e"/>
    <w:qFormat/>
    <w:pPr>
      <w:numPr>
        <w:numId w:val="4"/>
      </w:numPr>
      <w:shd w:val="clear" w:color="FFFFFF" w:fill="FFFFFF"/>
      <w:tabs>
        <w:tab w:val="left" w:pos="6406"/>
      </w:tabs>
      <w:spacing w:before="560" w:afterLines="50" w:after="50"/>
      <w:jc w:val="center"/>
      <w:outlineLvl w:val="0"/>
    </w:pPr>
    <w:rPr>
      <w:rFonts w:ascii="黑体" w:eastAsia="黑体" w:hAnsi="Times New Roman"/>
      <w:sz w:val="21"/>
    </w:rPr>
  </w:style>
  <w:style w:type="paragraph" w:customStyle="1" w:styleId="aff">
    <w:name w:val="标准文件_附录表标题"/>
    <w:next w:val="affffe"/>
    <w:qFormat/>
    <w:pPr>
      <w:numPr>
        <w:ilvl w:val="1"/>
        <w:numId w:val="5"/>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e"/>
    <w:qFormat/>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e"/>
    <w:qFormat/>
    <w:pPr>
      <w:widowControl/>
      <w:numPr>
        <w:ilvl w:val="2"/>
      </w:numPr>
      <w:wordWrap w:val="0"/>
      <w:overflowPunct w:val="0"/>
      <w:autoSpaceDE w:val="0"/>
      <w:autoSpaceDN w:val="0"/>
      <w:textAlignment w:val="baseline"/>
      <w:outlineLvl w:val="3"/>
    </w:pPr>
  </w:style>
  <w:style w:type="paragraph" w:customStyle="1" w:styleId="affffff">
    <w:name w:val="标准文件_附录公式"/>
    <w:basedOn w:val="affffd"/>
    <w:next w:val="affffd"/>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e"/>
    <w:qFormat/>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e"/>
    <w:qFormat/>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e"/>
    <w:qFormat/>
    <w:pPr>
      <w:numPr>
        <w:ilvl w:val="1"/>
        <w:numId w:val="6"/>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e"/>
    <w:qFormat/>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a"/>
    <w:qFormat/>
    <w:pPr>
      <w:numPr>
        <w:numId w:val="7"/>
      </w:numPr>
      <w:tabs>
        <w:tab w:val="left" w:pos="6406"/>
      </w:tabs>
      <w:spacing w:before="220" w:after="320"/>
      <w:jc w:val="center"/>
      <w:outlineLvl w:val="0"/>
    </w:pPr>
    <w:rPr>
      <w:rFonts w:ascii="黑体" w:eastAsia="黑体" w:hAnsi="Times New Roman"/>
      <w:sz w:val="21"/>
    </w:rPr>
  </w:style>
  <w:style w:type="character" w:customStyle="1" w:styleId="Char">
    <w:name w:val="正文文本 Char"/>
    <w:link w:val="afffa"/>
    <w:qFormat/>
    <w:rPr>
      <w:kern w:val="2"/>
      <w:sz w:val="21"/>
      <w:szCs w:val="21"/>
    </w:rPr>
  </w:style>
  <w:style w:type="paragraph" w:customStyle="1" w:styleId="affffff0">
    <w:name w:val="标准文件_附录章标题"/>
    <w:next w:val="affffe"/>
    <w:qFormat/>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1">
    <w:name w:val="标准文件_公式后的破折号"/>
    <w:basedOn w:val="affffe"/>
    <w:next w:val="affffe"/>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before="480" w:afterLines="150" w:after="150"/>
      <w:jc w:val="center"/>
      <w:outlineLvl w:val="0"/>
    </w:pPr>
    <w:rPr>
      <w:rFonts w:ascii="黑体" w:eastAsia="黑体" w:hAnsi="Times New Roman"/>
      <w:sz w:val="32"/>
    </w:rPr>
  </w:style>
  <w:style w:type="paragraph" w:customStyle="1" w:styleId="affffff2">
    <w:name w:val="标准文件_目次、标准名称标题"/>
    <w:basedOn w:val="a6"/>
    <w:next w:val="affffe"/>
    <w:qFormat/>
    <w:pPr>
      <w:spacing w:line="460" w:lineRule="exact"/>
      <w:ind w:left="0" w:firstLine="0"/>
    </w:pPr>
  </w:style>
  <w:style w:type="paragraph" w:customStyle="1" w:styleId="affffff3">
    <w:name w:val="标准文件_目录标题"/>
    <w:basedOn w:val="afff5"/>
    <w:qFormat/>
    <w:pPr>
      <w:spacing w:before="480"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qFormat/>
    <w:pPr>
      <w:numPr>
        <w:numId w:val="10"/>
      </w:numPr>
    </w:pPr>
  </w:style>
  <w:style w:type="paragraph" w:customStyle="1" w:styleId="afff">
    <w:name w:val="标准文件_三级条标题"/>
    <w:basedOn w:val="affe"/>
    <w:next w:val="affffe"/>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4">
    <w:name w:val="标准文件_示例后续"/>
    <w:basedOn w:val="afff5"/>
    <w:qFormat/>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e"/>
    <w:qFormat/>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Char3">
    <w:name w:val="脚注文本 Char"/>
    <w:link w:val="afffe"/>
    <w:semiHidden/>
    <w:qFormat/>
    <w:rPr>
      <w:rFonts w:ascii="宋体"/>
      <w:kern w:val="2"/>
      <w:sz w:val="18"/>
      <w:szCs w:val="18"/>
    </w:rPr>
  </w:style>
  <w:style w:type="paragraph" w:customStyle="1" w:styleId="affffff5">
    <w:name w:val="标准文件_条文脚注"/>
    <w:basedOn w:val="afffe"/>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e"/>
    <w:pPr>
      <w:numPr>
        <w:numId w:val="12"/>
      </w:numPr>
      <w:spacing w:line="240" w:lineRule="auto"/>
      <w:jc w:val="left"/>
    </w:pPr>
    <w:rPr>
      <w:rFonts w:ascii="宋体" w:hAnsi="宋体"/>
      <w:sz w:val="18"/>
    </w:rPr>
  </w:style>
  <w:style w:type="character" w:customStyle="1" w:styleId="affffff6">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e"/>
    <w:qFormat/>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e"/>
    <w:qFormat/>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e"/>
    <w:qFormat/>
    <w:pPr>
      <w:numPr>
        <w:ilvl w:val="2"/>
      </w:numPr>
      <w:spacing w:beforeLines="50" w:before="50" w:afterLines="50" w:after="50"/>
      <w:outlineLvl w:val="1"/>
    </w:pPr>
  </w:style>
  <w:style w:type="paragraph" w:customStyle="1" w:styleId="affffff7">
    <w:name w:val="标准文件_一致程度"/>
    <w:basedOn w:val="afff5"/>
    <w:qFormat/>
    <w:pPr>
      <w:spacing w:line="440" w:lineRule="exact"/>
      <w:jc w:val="center"/>
    </w:pPr>
    <w:rPr>
      <w:sz w:val="28"/>
    </w:rPr>
  </w:style>
  <w:style w:type="paragraph" w:customStyle="1" w:styleId="affffff8">
    <w:name w:val="标准文件_引言标题"/>
    <w:next w:val="afff5"/>
    <w:qFormat/>
    <w:pPr>
      <w:shd w:val="clear" w:color="FFFFFF" w:fill="FFFFFF"/>
      <w:spacing w:before="540" w:after="600"/>
      <w:jc w:val="center"/>
      <w:outlineLvl w:val="0"/>
    </w:pPr>
    <w:rPr>
      <w:rFonts w:ascii="黑体" w:eastAsia="黑体" w:hAnsi="Times New Roman"/>
      <w:sz w:val="32"/>
    </w:rPr>
  </w:style>
  <w:style w:type="paragraph" w:customStyle="1" w:styleId="affffff9">
    <w:name w:val="标准文件_英文图表脚注"/>
    <w:basedOn w:val="affffd"/>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jc w:val="both"/>
    </w:pPr>
    <w:rPr>
      <w:rFonts w:ascii="宋体" w:hAnsi="Times New Roman"/>
      <w:sz w:val="21"/>
    </w:rPr>
  </w:style>
  <w:style w:type="paragraph" w:customStyle="1" w:styleId="af">
    <w:name w:val="标准文件_英文注："/>
    <w:basedOn w:val="afff5"/>
    <w:next w:val="affffe"/>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e"/>
    <w:qFormat/>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a">
    <w:name w:val="标准文件_正文公式"/>
    <w:basedOn w:val="afff5"/>
    <w:next w:val="affffd"/>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e"/>
    <w:qFormat/>
    <w:pPr>
      <w:numPr>
        <w:numId w:val="17"/>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e"/>
    <w:qFormat/>
    <w:pPr>
      <w:numPr>
        <w:numId w:val="18"/>
      </w:numPr>
      <w:jc w:val="center"/>
    </w:pPr>
    <w:rPr>
      <w:rFonts w:ascii="黑体" w:eastAsia="黑体" w:hAnsi="Times New Roman"/>
      <w:sz w:val="21"/>
    </w:rPr>
  </w:style>
  <w:style w:type="paragraph" w:customStyle="1" w:styleId="afb">
    <w:name w:val="标准文件_正文英文图标题"/>
    <w:next w:val="affffe"/>
    <w:qFormat/>
    <w:pPr>
      <w:numPr>
        <w:numId w:val="19"/>
      </w:numPr>
      <w:jc w:val="center"/>
    </w:pPr>
    <w:rPr>
      <w:rFonts w:ascii="黑体" w:eastAsia="黑体" w:hAnsi="Times New Roman"/>
      <w:sz w:val="21"/>
    </w:rPr>
  </w:style>
  <w:style w:type="paragraph" w:customStyle="1" w:styleId="af7">
    <w:name w:val="标准文件_编号列项（三级）"/>
    <w:qFormat/>
    <w:pPr>
      <w:numPr>
        <w:ilvl w:val="2"/>
        <w:numId w:val="13"/>
      </w:numPr>
    </w:pPr>
    <w:rPr>
      <w:rFonts w:ascii="宋体" w:hAnsi="Times New Roman"/>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b">
    <w:name w:val="发布部门"/>
    <w:next w:val="affffe"/>
    <w:qFormat/>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c">
    <w:name w:val="发布日期"/>
    <w:qFormat/>
    <w:pPr>
      <w:framePr w:w="4000" w:h="473" w:hRule="exact" w:hSpace="180" w:vSpace="180" w:wrap="around" w:hAnchor="margin" w:y="13511" w:anchorLock="1"/>
    </w:pPr>
    <w:rPr>
      <w:rFonts w:ascii="Times New Roman" w:eastAsia="黑体" w:hAnsi="Times New Roman"/>
      <w:sz w:val="28"/>
    </w:rPr>
  </w:style>
  <w:style w:type="paragraph" w:customStyle="1" w:styleId="affffffd">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e">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
    <w:name w:val="封面标准文稿编辑信息"/>
    <w:qFormat/>
    <w:pPr>
      <w:spacing w:before="180" w:line="180" w:lineRule="exact"/>
      <w:jc w:val="center"/>
    </w:pPr>
    <w:rPr>
      <w:rFonts w:ascii="宋体" w:hAnsi="Times New Roman"/>
      <w:sz w:val="21"/>
    </w:rPr>
  </w:style>
  <w:style w:type="paragraph" w:customStyle="1" w:styleId="afffffff0">
    <w:name w:val="封面标准文稿类别"/>
    <w:qFormat/>
    <w:pPr>
      <w:spacing w:before="440" w:line="400" w:lineRule="exact"/>
      <w:jc w:val="center"/>
    </w:pPr>
    <w:rPr>
      <w:rFonts w:ascii="宋体" w:hAnsi="Times New Roman"/>
      <w:sz w:val="24"/>
    </w:rPr>
  </w:style>
  <w:style w:type="paragraph" w:customStyle="1" w:styleId="afffffff1">
    <w:name w:val="封面标准英文名称"/>
    <w:pPr>
      <w:widowControl w:val="0"/>
      <w:spacing w:line="360" w:lineRule="exact"/>
      <w:jc w:val="center"/>
    </w:pPr>
    <w:rPr>
      <w:rFonts w:ascii="Times New Roman" w:hAnsi="Times New Roman"/>
      <w:sz w:val="28"/>
    </w:rPr>
  </w:style>
  <w:style w:type="paragraph" w:customStyle="1" w:styleId="afffffff2">
    <w:name w:val="封面一致性程度标识"/>
    <w:pPr>
      <w:spacing w:before="440" w:line="440" w:lineRule="exact"/>
      <w:jc w:val="center"/>
    </w:pPr>
    <w:rPr>
      <w:rFonts w:ascii="Times New Roman" w:hAnsi="Times New Roman"/>
      <w:sz w:val="28"/>
    </w:rPr>
  </w:style>
  <w:style w:type="paragraph" w:customStyle="1" w:styleId="afffffff3">
    <w:name w:val="封面正文"/>
    <w:pPr>
      <w:jc w:val="both"/>
    </w:pPr>
    <w:rPr>
      <w:rFonts w:ascii="Times New Roman" w:hAnsi="Times New Roman"/>
    </w:rPr>
  </w:style>
  <w:style w:type="paragraph" w:customStyle="1" w:styleId="afffffff4">
    <w:name w:val="附录二级无标题条"/>
    <w:basedOn w:val="afff5"/>
    <w:next w:val="affffe"/>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5">
    <w:name w:val="附录三级无标题条"/>
    <w:basedOn w:val="afffffff4"/>
    <w:next w:val="affffe"/>
    <w:qFormat/>
    <w:pPr>
      <w:outlineLvl w:val="4"/>
    </w:pPr>
  </w:style>
  <w:style w:type="paragraph" w:customStyle="1" w:styleId="afffffff6">
    <w:name w:val="附录四级无标题条"/>
    <w:basedOn w:val="afffffff5"/>
    <w:next w:val="affffe"/>
    <w:qFormat/>
    <w:pPr>
      <w:outlineLvl w:val="5"/>
    </w:pPr>
  </w:style>
  <w:style w:type="paragraph" w:customStyle="1" w:styleId="afffffff7">
    <w:name w:val="附录图"/>
    <w:next w:val="affffe"/>
    <w:qFormat/>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qFormat/>
    <w:pPr>
      <w:numPr>
        <w:numId w:val="21"/>
      </w:numPr>
    </w:pPr>
    <w:rPr>
      <w:rFonts w:ascii="宋体" w:hAnsi="Times New Roman"/>
      <w:sz w:val="21"/>
    </w:rPr>
  </w:style>
  <w:style w:type="paragraph" w:customStyle="1" w:styleId="afffffff8">
    <w:name w:val="附录五级无标题条"/>
    <w:basedOn w:val="afffffff6"/>
    <w:next w:val="affffe"/>
    <w:qFormat/>
    <w:pPr>
      <w:outlineLvl w:val="6"/>
    </w:pPr>
  </w:style>
  <w:style w:type="paragraph" w:customStyle="1" w:styleId="afffffff9">
    <w:name w:val="附录性质"/>
    <w:basedOn w:val="afff5"/>
    <w:qFormat/>
    <w:pPr>
      <w:widowControl/>
      <w:adjustRightInd/>
      <w:jc w:val="center"/>
    </w:pPr>
    <w:rPr>
      <w:rFonts w:ascii="黑体" w:eastAsia="黑体"/>
    </w:rPr>
  </w:style>
  <w:style w:type="paragraph" w:customStyle="1" w:styleId="afffffffa">
    <w:name w:val="附录一级无标题条"/>
    <w:basedOn w:val="affffff0"/>
    <w:next w:val="affffe"/>
    <w:qFormat/>
    <w:pPr>
      <w:autoSpaceDN w:val="0"/>
      <w:outlineLvl w:val="2"/>
    </w:pPr>
    <w:rPr>
      <w:rFonts w:ascii="宋体" w:eastAsia="宋体" w:hAnsi="宋体"/>
    </w:rPr>
  </w:style>
  <w:style w:type="character" w:customStyle="1" w:styleId="afffffffb">
    <w:name w:val="个人答复风格"/>
    <w:qFormat/>
    <w:rPr>
      <w:rFonts w:ascii="Arial" w:eastAsia="宋体" w:hAnsi="Arial" w:cs="Arial"/>
      <w:color w:val="auto"/>
      <w:spacing w:val="0"/>
      <w:sz w:val="20"/>
    </w:rPr>
  </w:style>
  <w:style w:type="character" w:customStyle="1" w:styleId="afffffffc">
    <w:name w:val="个人撰写风格"/>
    <w:qFormat/>
    <w:rPr>
      <w:rFonts w:ascii="Arial" w:eastAsia="宋体" w:hAnsi="Arial" w:cs="Arial"/>
      <w:color w:val="auto"/>
      <w:spacing w:val="0"/>
      <w:sz w:val="20"/>
    </w:rPr>
  </w:style>
  <w:style w:type="paragraph" w:customStyle="1" w:styleId="afffffffd">
    <w:name w:val="脚注后续"/>
    <w:qFormat/>
    <w:pPr>
      <w:ind w:leftChars="350" w:left="350"/>
      <w:jc w:val="both"/>
    </w:pPr>
    <w:rPr>
      <w:rFonts w:ascii="宋体" w:hAnsi="Times New Roman"/>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e">
    <w:name w:val="列项·"/>
    <w:basedOn w:val="affffe"/>
    <w:qFormat/>
    <w:pPr>
      <w:tabs>
        <w:tab w:val="left" w:pos="840"/>
      </w:tabs>
    </w:pPr>
  </w:style>
  <w:style w:type="paragraph" w:customStyle="1" w:styleId="affffffff">
    <w:name w:val="目次、索引正文"/>
    <w:qFormat/>
    <w:pPr>
      <w:spacing w:line="320" w:lineRule="exact"/>
      <w:jc w:val="both"/>
    </w:pPr>
    <w:rPr>
      <w:rFonts w:ascii="宋体" w:hAnsi="Times New Roman"/>
      <w:sz w:val="21"/>
    </w:rPr>
  </w:style>
  <w:style w:type="paragraph" w:customStyle="1" w:styleId="210">
    <w:name w:val="目录 21"/>
    <w:basedOn w:val="afff5"/>
    <w:next w:val="afff5"/>
    <w:semiHidden/>
    <w:pPr>
      <w:adjustRightInd/>
      <w:spacing w:line="240" w:lineRule="auto"/>
      <w:jc w:val="left"/>
    </w:pPr>
    <w:rPr>
      <w:bCs/>
      <w:iCs/>
    </w:rPr>
  </w:style>
  <w:style w:type="paragraph" w:customStyle="1" w:styleId="31">
    <w:name w:val="目录 31"/>
    <w:basedOn w:val="afff5"/>
    <w:next w:val="afff5"/>
    <w:semiHidden/>
    <w:pPr>
      <w:spacing w:line="240" w:lineRule="auto"/>
    </w:pPr>
    <w:rPr>
      <w:rFonts w:ascii="宋体" w:hAnsi="宋体"/>
      <w:iCs/>
    </w:rPr>
  </w:style>
  <w:style w:type="paragraph" w:customStyle="1" w:styleId="41">
    <w:name w:val="目录 41"/>
    <w:basedOn w:val="afff5"/>
    <w:next w:val="afff5"/>
    <w:semiHidden/>
    <w:pPr>
      <w:adjustRightInd/>
      <w:spacing w:line="240" w:lineRule="auto"/>
      <w:jc w:val="left"/>
    </w:pPr>
  </w:style>
  <w:style w:type="paragraph" w:customStyle="1" w:styleId="51">
    <w:name w:val="目录 51"/>
    <w:basedOn w:val="afff5"/>
    <w:next w:val="afff5"/>
    <w:semiHidden/>
    <w:qFormat/>
    <w:pPr>
      <w:spacing w:line="240" w:lineRule="auto"/>
    </w:pPr>
    <w:rPr>
      <w:rFonts w:ascii="宋体" w:hAnsi="宋体"/>
    </w:rPr>
  </w:style>
  <w:style w:type="paragraph" w:customStyle="1" w:styleId="61">
    <w:name w:val="目录 61"/>
    <w:basedOn w:val="afff5"/>
    <w:next w:val="afff5"/>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0">
    <w:name w:val="其他标准称谓"/>
    <w:qFormat/>
    <w:pPr>
      <w:spacing w:line="0" w:lineRule="atLeast"/>
      <w:jc w:val="distribute"/>
    </w:pPr>
    <w:rPr>
      <w:rFonts w:ascii="黑体" w:eastAsia="黑体" w:hAnsi="宋体"/>
      <w:sz w:val="52"/>
    </w:rPr>
  </w:style>
  <w:style w:type="paragraph" w:customStyle="1" w:styleId="affffffff1">
    <w:name w:val="其他发布部门"/>
    <w:basedOn w:val="affffffb"/>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2">
    <w:name w:val="实施日期"/>
    <w:basedOn w:val="affffffc"/>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3">
    <w:name w:val="文献分类号"/>
    <w:qFormat/>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4">
    <w:name w:val="无标题条"/>
    <w:next w:val="affffe"/>
    <w:qFormat/>
    <w:pPr>
      <w:jc w:val="both"/>
    </w:pPr>
    <w:rPr>
      <w:rFonts w:ascii="宋体" w:hAnsi="宋体"/>
      <w:sz w:val="21"/>
    </w:rPr>
  </w:style>
  <w:style w:type="paragraph" w:customStyle="1" w:styleId="a4">
    <w:name w:val="五级无标题条"/>
    <w:basedOn w:val="afff5"/>
    <w:qFormat/>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5">
    <w:name w:val="注:后续"/>
    <w:qFormat/>
    <w:pPr>
      <w:spacing w:line="300" w:lineRule="exact"/>
      <w:ind w:leftChars="400" w:left="600" w:hangingChars="200" w:hanging="200"/>
      <w:jc w:val="both"/>
    </w:pPr>
    <w:rPr>
      <w:rFonts w:ascii="宋体" w:hAnsi="Times New Roman"/>
      <w:sz w:val="18"/>
    </w:rPr>
  </w:style>
  <w:style w:type="paragraph" w:customStyle="1" w:styleId="affffffff6">
    <w:name w:val="注×:后续"/>
    <w:basedOn w:val="affffffff5"/>
    <w:qFormat/>
    <w:pPr>
      <w:ind w:leftChars="0" w:left="1406" w:firstLineChars="0" w:hanging="499"/>
    </w:pPr>
  </w:style>
  <w:style w:type="paragraph" w:customStyle="1" w:styleId="affffffff7">
    <w:name w:val="标准文件_一级无标题"/>
    <w:basedOn w:val="affd"/>
    <w:qFormat/>
    <w:pPr>
      <w:spacing w:beforeLines="0" w:before="0" w:afterLines="0" w:after="0"/>
      <w:outlineLvl w:val="9"/>
    </w:pPr>
    <w:rPr>
      <w:rFonts w:ascii="宋体" w:eastAsia="宋体"/>
    </w:rPr>
  </w:style>
  <w:style w:type="paragraph" w:customStyle="1" w:styleId="affffffff8">
    <w:name w:val="标准文件_五级无标题"/>
    <w:basedOn w:val="afff1"/>
    <w:qFormat/>
    <w:pPr>
      <w:spacing w:beforeLines="0" w:before="0" w:afterLines="0" w:after="0"/>
      <w:outlineLvl w:val="9"/>
    </w:pPr>
    <w:rPr>
      <w:rFonts w:ascii="宋体" w:eastAsia="宋体"/>
    </w:rPr>
  </w:style>
  <w:style w:type="paragraph" w:customStyle="1" w:styleId="affffffff9">
    <w:name w:val="标准文件_三级无标题"/>
    <w:basedOn w:val="afff"/>
    <w:qFormat/>
    <w:pPr>
      <w:spacing w:beforeLines="0" w:before="0" w:afterLines="0" w:after="0"/>
      <w:outlineLvl w:val="9"/>
    </w:pPr>
    <w:rPr>
      <w:rFonts w:ascii="宋体" w:eastAsia="宋体"/>
    </w:rPr>
  </w:style>
  <w:style w:type="paragraph" w:customStyle="1" w:styleId="affffffffa">
    <w:name w:val="标准文件_二级无标题"/>
    <w:basedOn w:val="affe"/>
    <w:qFormat/>
    <w:pPr>
      <w:spacing w:beforeLines="0" w:before="0" w:afterLines="0" w:after="0"/>
      <w:outlineLvl w:val="9"/>
    </w:pPr>
    <w:rPr>
      <w:rFonts w:ascii="宋体" w:eastAsia="宋体"/>
    </w:rPr>
  </w:style>
  <w:style w:type="paragraph" w:customStyle="1" w:styleId="affffffffb">
    <w:name w:val="标准_四级无标题"/>
    <w:basedOn w:val="afff0"/>
    <w:next w:val="affffe"/>
    <w:qFormat/>
    <w:rPr>
      <w:rFonts w:eastAsia="宋体"/>
    </w:rPr>
  </w:style>
  <w:style w:type="paragraph" w:customStyle="1" w:styleId="affffffffc">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e"/>
    <w:qFormat/>
    <w:pPr>
      <w:numPr>
        <w:numId w:val="23"/>
      </w:numPr>
      <w:ind w:firstLineChars="0" w:firstLine="0"/>
    </w:pPr>
    <w:rPr>
      <w:rFonts w:ascii="Times New Roman" w:cs="Arial"/>
      <w:szCs w:val="28"/>
    </w:rPr>
  </w:style>
  <w:style w:type="paragraph" w:customStyle="1" w:styleId="ae">
    <w:name w:val="标准文件_小写罗马数字编号列项"/>
    <w:basedOn w:val="affffe"/>
    <w:qFormat/>
    <w:pPr>
      <w:numPr>
        <w:numId w:val="24"/>
      </w:numPr>
      <w:ind w:firstLineChars="0" w:firstLine="0"/>
    </w:pPr>
    <w:rPr>
      <w:rFonts w:cs="Arial"/>
      <w:szCs w:val="28"/>
    </w:rPr>
  </w:style>
  <w:style w:type="paragraph" w:customStyle="1" w:styleId="affffffffd">
    <w:name w:val="标准文件_附录标题"/>
    <w:basedOn w:val="aff3"/>
    <w:qFormat/>
    <w:pPr>
      <w:numPr>
        <w:numId w:val="0"/>
      </w:numPr>
      <w:spacing w:after="280"/>
      <w:outlineLvl w:val="9"/>
    </w:pPr>
  </w:style>
  <w:style w:type="paragraph" w:customStyle="1" w:styleId="affffffffe">
    <w:name w:val="标准文件_二级项"/>
    <w:qFormat/>
    <w:rPr>
      <w:rFonts w:ascii="宋体" w:hAnsi="Times New Roman"/>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e"/>
    <w:qFormat/>
    <w:pPr>
      <w:numPr>
        <w:numId w:val="25"/>
      </w:numPr>
      <w:adjustRightInd/>
      <w:spacing w:line="240" w:lineRule="auto"/>
    </w:pPr>
    <w:rPr>
      <w:rFonts w:ascii="宋体" w:hAnsi="Times New Roman"/>
      <w:sz w:val="18"/>
      <w:szCs w:val="18"/>
    </w:rPr>
  </w:style>
  <w:style w:type="paragraph" w:customStyle="1" w:styleId="af5">
    <w:name w:val="标准文件_字母编号列项（一级）"/>
    <w:qFormat/>
    <w:pPr>
      <w:numPr>
        <w:numId w:val="13"/>
      </w:numPr>
      <w:jc w:val="both"/>
    </w:pPr>
    <w:rPr>
      <w:rFonts w:ascii="宋体" w:hAnsi="Times New Roman"/>
      <w:sz w:val="21"/>
    </w:rPr>
  </w:style>
  <w:style w:type="paragraph" w:customStyle="1" w:styleId="afffffffff">
    <w:name w:val="标准文件_索引字母"/>
    <w:next w:val="affffe"/>
    <w:qFormat/>
    <w:pPr>
      <w:jc w:val="center"/>
    </w:pPr>
    <w:rPr>
      <w:rFonts w:ascii="宋体" w:eastAsia="Times New Roman" w:hAnsi="宋体"/>
      <w:b/>
      <w:kern w:val="2"/>
      <w:sz w:val="21"/>
    </w:rPr>
  </w:style>
  <w:style w:type="paragraph" w:customStyle="1" w:styleId="afffffffff0">
    <w:name w:val="标准文件_附录前"/>
    <w:next w:val="affffe"/>
    <w:qFormat/>
    <w:pPr>
      <w:spacing w:line="20" w:lineRule="atLeast"/>
      <w:ind w:firstLine="200"/>
    </w:pPr>
    <w:rPr>
      <w:rFonts w:ascii="宋体" w:hAnsi="宋体"/>
      <w:kern w:val="2"/>
      <w:sz w:val="10"/>
    </w:rPr>
  </w:style>
  <w:style w:type="paragraph" w:customStyle="1" w:styleId="afffffffff1">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2">
    <w:name w:val="标准文件_表格"/>
    <w:basedOn w:val="affffe"/>
    <w:qFormat/>
    <w:pPr>
      <w:ind w:firstLineChars="0" w:firstLine="0"/>
      <w:jc w:val="center"/>
    </w:pPr>
    <w:rPr>
      <w:sz w:val="18"/>
    </w:rPr>
  </w:style>
  <w:style w:type="paragraph" w:customStyle="1" w:styleId="afff2">
    <w:name w:val="标准文件_注："/>
    <w:next w:val="affffe"/>
    <w:qFormat/>
    <w:pPr>
      <w:widowControl w:val="0"/>
      <w:numPr>
        <w:numId w:val="26"/>
      </w:numPr>
      <w:autoSpaceDE w:val="0"/>
      <w:autoSpaceDN w:val="0"/>
      <w:jc w:val="both"/>
    </w:pPr>
    <w:rPr>
      <w:rFonts w:ascii="宋体" w:hAnsi="Times New Roman"/>
      <w:sz w:val="18"/>
      <w:szCs w:val="18"/>
    </w:rPr>
  </w:style>
  <w:style w:type="paragraph" w:customStyle="1" w:styleId="a5">
    <w:name w:val="标准文件_注×："/>
    <w:qFormat/>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3"/>
    <w:qFormat/>
    <w:pPr>
      <w:widowControl w:val="0"/>
      <w:numPr>
        <w:numId w:val="28"/>
      </w:numPr>
      <w:jc w:val="both"/>
    </w:pPr>
    <w:rPr>
      <w:rFonts w:ascii="宋体" w:hAnsi="Times New Roman"/>
      <w:sz w:val="18"/>
      <w:szCs w:val="18"/>
    </w:rPr>
  </w:style>
  <w:style w:type="paragraph" w:customStyle="1" w:styleId="afffffffff3">
    <w:name w:val="标准文件_示例内容"/>
    <w:basedOn w:val="affffe"/>
    <w:qFormat/>
    <w:pPr>
      <w:ind w:firstLine="420"/>
    </w:pPr>
    <w:rPr>
      <w:sz w:val="18"/>
    </w:rPr>
  </w:style>
  <w:style w:type="paragraph" w:customStyle="1" w:styleId="afa">
    <w:name w:val="标准文件_示例×："/>
    <w:basedOn w:val="afff5"/>
    <w:next w:val="afffffffff3"/>
    <w:qFormat/>
    <w:pPr>
      <w:widowControl/>
      <w:numPr>
        <w:numId w:val="29"/>
      </w:numPr>
      <w:adjustRightInd/>
      <w:spacing w:line="240" w:lineRule="auto"/>
    </w:pPr>
    <w:rPr>
      <w:rFonts w:ascii="宋体" w:hAnsi="Times New Roman"/>
      <w:kern w:val="0"/>
      <w:sz w:val="18"/>
      <w:szCs w:val="18"/>
    </w:rPr>
  </w:style>
  <w:style w:type="character" w:customStyle="1" w:styleId="Char6">
    <w:name w:val="标准文件_段 Char"/>
    <w:link w:val="affffe"/>
    <w:qFormat/>
    <w:rPr>
      <w:rFonts w:ascii="宋体" w:hAnsi="Times New Roman"/>
      <w:sz w:val="21"/>
    </w:rPr>
  </w:style>
  <w:style w:type="paragraph" w:customStyle="1" w:styleId="afffffffff4">
    <w:name w:val="标准文件_表格续"/>
    <w:basedOn w:val="affffe"/>
    <w:next w:val="affffe"/>
    <w:qFormat/>
    <w:pPr>
      <w:jc w:val="center"/>
    </w:pPr>
    <w:rPr>
      <w:rFonts w:ascii="黑体" w:eastAsia="黑体" w:hAnsi="黑体"/>
    </w:rPr>
  </w:style>
  <w:style w:type="character" w:styleId="afffffffff5">
    <w:name w:val="Placeholder Text"/>
    <w:basedOn w:val="afff6"/>
    <w:uiPriority w:val="99"/>
    <w:semiHidden/>
    <w:rPr>
      <w:color w:val="808080"/>
    </w:rPr>
  </w:style>
  <w:style w:type="paragraph" w:customStyle="1" w:styleId="2">
    <w:name w:val="标准文件_二级项2"/>
    <w:basedOn w:val="affffe"/>
    <w:qFormat/>
    <w:pPr>
      <w:numPr>
        <w:ilvl w:val="1"/>
        <w:numId w:val="21"/>
      </w:numPr>
      <w:ind w:firstLineChars="0" w:firstLine="0"/>
    </w:pPr>
  </w:style>
  <w:style w:type="paragraph" w:customStyle="1" w:styleId="21">
    <w:name w:val="标准文件_三级项2"/>
    <w:basedOn w:val="affffe"/>
    <w:qFormat/>
    <w:pPr>
      <w:numPr>
        <w:numId w:val="30"/>
      </w:numPr>
      <w:spacing w:line="300" w:lineRule="exact"/>
      <w:ind w:firstLineChars="0"/>
    </w:pPr>
    <w:rPr>
      <w:rFonts w:ascii="Times New Roman"/>
    </w:rPr>
  </w:style>
  <w:style w:type="paragraph" w:customStyle="1" w:styleId="20">
    <w:name w:val="标准文件_一级项2"/>
    <w:basedOn w:val="affffe"/>
    <w:qFormat/>
    <w:pPr>
      <w:numPr>
        <w:numId w:val="31"/>
      </w:numPr>
      <w:spacing w:line="300" w:lineRule="exact"/>
      <w:ind w:firstLineChars="0"/>
    </w:pPr>
    <w:rPr>
      <w:rFonts w:ascii="Times New Roman"/>
    </w:rPr>
  </w:style>
  <w:style w:type="paragraph" w:customStyle="1" w:styleId="afffffffff6">
    <w:name w:val="标准文件_提示"/>
    <w:basedOn w:val="affffe"/>
    <w:next w:val="affffe"/>
    <w:qFormat/>
    <w:pPr>
      <w:ind w:firstLine="420"/>
    </w:pPr>
    <w:rPr>
      <w:rFonts w:ascii="黑体" w:eastAsia="黑体"/>
    </w:rPr>
  </w:style>
  <w:style w:type="character" w:customStyle="1" w:styleId="afffffffff7">
    <w:name w:val="标准文件_来源"/>
    <w:basedOn w:val="afff6"/>
    <w:uiPriority w:val="1"/>
    <w:qFormat/>
    <w:rPr>
      <w:rFonts w:eastAsia="宋体"/>
      <w:sz w:val="21"/>
    </w:rPr>
  </w:style>
  <w:style w:type="paragraph" w:customStyle="1" w:styleId="afffffffff8">
    <w:name w:val="标准文件_图表说明"/>
    <w:qFormat/>
    <w:pPr>
      <w:spacing w:line="276" w:lineRule="auto"/>
      <w:ind w:firstLine="420"/>
    </w:pPr>
    <w:rPr>
      <w:rFonts w:ascii="宋体" w:hAnsi="宋体"/>
      <w:kern w:val="2"/>
      <w:sz w:val="18"/>
    </w:rPr>
  </w:style>
  <w:style w:type="paragraph" w:customStyle="1" w:styleId="afffffffff9">
    <w:name w:val="其他发布日期"/>
    <w:basedOn w:val="affffffc"/>
    <w:qFormat/>
    <w:pPr>
      <w:framePr w:w="3997" w:h="471" w:hRule="exact" w:hSpace="0" w:vSpace="181" w:wrap="around" w:vAnchor="page" w:hAnchor="page" w:x="1419" w:y="14097"/>
    </w:pPr>
  </w:style>
  <w:style w:type="paragraph" w:customStyle="1" w:styleId="afffffffffa">
    <w:name w:val="其他实施日期"/>
    <w:basedOn w:val="affffffff2"/>
    <w:qFormat/>
    <w:pPr>
      <w:framePr w:w="3997" w:h="471" w:hRule="exact" w:vSpace="181" w:wrap="around" w:vAnchor="page" w:hAnchor="page" w:x="7089" w:y="14097"/>
    </w:pPr>
  </w:style>
  <w:style w:type="paragraph" w:customStyle="1" w:styleId="afffffffffb">
    <w:name w:val="标准文件_文件编号"/>
    <w:basedOn w:val="affffe"/>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c">
    <w:name w:val="标准文件_替换文件编号"/>
    <w:basedOn w:val="afffffffffb"/>
    <w:qFormat/>
    <w:pPr>
      <w:framePr w:wrap="auto"/>
      <w:spacing w:before="57"/>
    </w:pPr>
    <w:rPr>
      <w:sz w:val="21"/>
    </w:rPr>
  </w:style>
  <w:style w:type="paragraph" w:customStyle="1" w:styleId="afffffffffd">
    <w:name w:val="标准文件_文件名称"/>
    <w:basedOn w:val="affffe"/>
    <w:next w:val="affffe"/>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e"/>
    <w:next w:val="affffe"/>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e"/>
    <w:next w:val="affffe"/>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e"/>
    <w:next w:val="affffe"/>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e"/>
    <w:next w:val="affffe"/>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e"/>
    <w:next w:val="affffe"/>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e"/>
    <w:next w:val="affffe"/>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e"/>
    <w:next w:val="affffe"/>
    <w:qFormat/>
    <w:pPr>
      <w:numPr>
        <w:ilvl w:val="5"/>
        <w:numId w:val="8"/>
      </w:numPr>
      <w:spacing w:beforeLines="50" w:before="50" w:afterLines="50" w:after="50"/>
      <w:ind w:firstLineChars="0"/>
    </w:pPr>
    <w:rPr>
      <w:rFonts w:ascii="黑体" w:eastAsia="黑体"/>
    </w:rPr>
  </w:style>
  <w:style w:type="paragraph" w:customStyle="1" w:styleId="afffffffffe">
    <w:name w:val="标准文件_注后"/>
    <w:basedOn w:val="affffe"/>
    <w:qFormat/>
    <w:pPr>
      <w:ind w:left="811" w:firstLineChars="0" w:firstLine="0"/>
    </w:pPr>
    <w:rPr>
      <w:sz w:val="18"/>
    </w:rPr>
  </w:style>
  <w:style w:type="paragraph" w:customStyle="1" w:styleId="X">
    <w:name w:val="标准文件_注X后"/>
    <w:basedOn w:val="affffe"/>
    <w:qFormat/>
    <w:pPr>
      <w:ind w:left="811" w:firstLineChars="0" w:firstLine="0"/>
    </w:pPr>
    <w:rPr>
      <w:sz w:val="18"/>
    </w:rPr>
  </w:style>
  <w:style w:type="paragraph" w:customStyle="1" w:styleId="affffffffff">
    <w:name w:val="标准文件_示例后"/>
    <w:basedOn w:val="affffe"/>
    <w:qFormat/>
    <w:pPr>
      <w:ind w:left="964" w:firstLineChars="0" w:firstLine="0"/>
    </w:pPr>
    <w:rPr>
      <w:sz w:val="18"/>
    </w:rPr>
  </w:style>
  <w:style w:type="paragraph" w:customStyle="1" w:styleId="X0">
    <w:name w:val="标准文件_示例X后"/>
    <w:basedOn w:val="affffe"/>
    <w:link w:val="X1"/>
    <w:qFormat/>
    <w:pPr>
      <w:ind w:left="1049" w:firstLineChars="0" w:firstLine="0"/>
    </w:pPr>
    <w:rPr>
      <w:sz w:val="18"/>
    </w:rPr>
  </w:style>
  <w:style w:type="character" w:customStyle="1" w:styleId="X1">
    <w:name w:val="标准文件_示例X后 字符"/>
    <w:basedOn w:val="Char6"/>
    <w:link w:val="X0"/>
    <w:qFormat/>
    <w:rPr>
      <w:rFonts w:ascii="宋体" w:hAnsi="Times New Roman"/>
      <w:sz w:val="18"/>
    </w:rPr>
  </w:style>
  <w:style w:type="paragraph" w:customStyle="1" w:styleId="affffffffff0">
    <w:name w:val="标准文件_索引项"/>
    <w:basedOn w:val="affffe"/>
    <w:next w:val="affffe"/>
    <w:qFormat/>
    <w:pPr>
      <w:tabs>
        <w:tab w:val="right" w:leader="dot" w:pos="9356"/>
      </w:tabs>
      <w:ind w:left="210" w:firstLineChars="0" w:hanging="210"/>
      <w:jc w:val="left"/>
    </w:pPr>
  </w:style>
  <w:style w:type="paragraph" w:customStyle="1" w:styleId="affffffffff1">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2">
    <w:name w:val="标准文件_附录二级无标题"/>
    <w:basedOn w:val="aff5"/>
    <w:pPr>
      <w:spacing w:beforeLines="0" w:before="0" w:afterLines="0" w:after="0" w:line="276" w:lineRule="auto"/>
      <w:outlineLvl w:val="9"/>
    </w:pPr>
    <w:rPr>
      <w:rFonts w:ascii="宋体" w:eastAsia="宋体"/>
    </w:rPr>
  </w:style>
  <w:style w:type="paragraph" w:customStyle="1" w:styleId="affffffffff3">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4">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5">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6">
    <w:name w:val="标准文件_引言一级无标题"/>
    <w:basedOn w:val="a7"/>
    <w:next w:val="affffe"/>
    <w:qFormat/>
    <w:pPr>
      <w:spacing w:beforeLines="0" w:before="0" w:afterLines="0" w:after="0" w:line="276" w:lineRule="auto"/>
    </w:pPr>
    <w:rPr>
      <w:rFonts w:ascii="宋体" w:eastAsia="宋体"/>
    </w:rPr>
  </w:style>
  <w:style w:type="paragraph" w:customStyle="1" w:styleId="affffffffff7">
    <w:name w:val="标准文件_引言二级无标题"/>
    <w:basedOn w:val="a8"/>
    <w:next w:val="affffe"/>
    <w:qFormat/>
    <w:pPr>
      <w:spacing w:beforeLines="0" w:before="0" w:afterLines="0" w:after="0" w:line="276" w:lineRule="auto"/>
    </w:pPr>
    <w:rPr>
      <w:rFonts w:ascii="宋体" w:eastAsia="宋体"/>
    </w:rPr>
  </w:style>
  <w:style w:type="paragraph" w:customStyle="1" w:styleId="affffffffff8">
    <w:name w:val="标准文件_引言三级无标题"/>
    <w:basedOn w:val="a9"/>
    <w:qFormat/>
    <w:pPr>
      <w:spacing w:beforeLines="0" w:before="0" w:afterLines="0" w:after="0" w:line="276" w:lineRule="auto"/>
    </w:pPr>
    <w:rPr>
      <w:rFonts w:ascii="宋体" w:eastAsia="宋体"/>
    </w:rPr>
  </w:style>
  <w:style w:type="paragraph" w:customStyle="1" w:styleId="affffffffff9">
    <w:name w:val="标准文件_引言四级无标题"/>
    <w:basedOn w:val="aa"/>
    <w:next w:val="affffe"/>
    <w:qFormat/>
    <w:pPr>
      <w:spacing w:beforeLines="0" w:before="0" w:afterLines="0" w:after="0" w:line="276" w:lineRule="auto"/>
    </w:pPr>
    <w:rPr>
      <w:rFonts w:ascii="宋体" w:eastAsia="宋体"/>
    </w:rPr>
  </w:style>
  <w:style w:type="paragraph" w:customStyle="1" w:styleId="affffffffffa">
    <w:name w:val="标准文件_引言五级无标题"/>
    <w:basedOn w:val="ab"/>
    <w:next w:val="affffe"/>
    <w:qFormat/>
    <w:pPr>
      <w:spacing w:beforeLines="0" w:before="0" w:afterLines="0" w:after="0" w:line="276" w:lineRule="auto"/>
    </w:pPr>
    <w:rPr>
      <w:rFonts w:ascii="宋体" w:eastAsia="宋体"/>
    </w:rPr>
  </w:style>
  <w:style w:type="paragraph" w:customStyle="1" w:styleId="affffffffffb">
    <w:name w:val="标准文件_索引标题"/>
    <w:basedOn w:val="afffff5"/>
    <w:next w:val="affffe"/>
    <w:qFormat/>
    <w:rPr>
      <w:rFonts w:hAnsi="黑体"/>
    </w:rPr>
  </w:style>
  <w:style w:type="paragraph" w:customStyle="1" w:styleId="affffffffffc">
    <w:name w:val="标准文件_脚注内容"/>
    <w:basedOn w:val="affffe"/>
    <w:qFormat/>
    <w:pPr>
      <w:ind w:leftChars="200" w:left="400" w:hangingChars="200" w:hanging="200"/>
    </w:pPr>
    <w:rPr>
      <w:sz w:val="15"/>
    </w:rPr>
  </w:style>
  <w:style w:type="paragraph" w:customStyle="1" w:styleId="affffffffffd">
    <w:name w:val="标准文件_术语条一"/>
    <w:basedOn w:val="affffffff7"/>
    <w:next w:val="affffe"/>
    <w:qFormat/>
  </w:style>
  <w:style w:type="paragraph" w:customStyle="1" w:styleId="affffffffffe">
    <w:name w:val="标准文件_术语条二"/>
    <w:basedOn w:val="affffffffa"/>
    <w:next w:val="affffe"/>
    <w:qFormat/>
  </w:style>
  <w:style w:type="paragraph" w:customStyle="1" w:styleId="afffffffffff">
    <w:name w:val="标准文件_术语条三"/>
    <w:basedOn w:val="affffffff9"/>
    <w:next w:val="affffe"/>
    <w:qFormat/>
  </w:style>
  <w:style w:type="paragraph" w:customStyle="1" w:styleId="afffffffffff0">
    <w:name w:val="标准文件_术语条四"/>
    <w:basedOn w:val="affffffffc"/>
    <w:next w:val="affffe"/>
    <w:qFormat/>
  </w:style>
  <w:style w:type="paragraph" w:customStyle="1" w:styleId="afffffffffff1">
    <w:name w:val="标准文件_术语条五"/>
    <w:basedOn w:val="affffffff8"/>
    <w:next w:val="affffe"/>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fffffffffff2">
    <w:name w:val="发布"/>
    <w:basedOn w:val="afff6"/>
    <w:qFormat/>
    <w:rPr>
      <w:rFonts w:ascii="黑体" w:eastAsia="黑体"/>
      <w:spacing w:val="85"/>
      <w:w w:val="100"/>
      <w:position w:val="3"/>
      <w:sz w:val="28"/>
      <w:szCs w:val="28"/>
    </w:rPr>
  </w:style>
  <w:style w:type="character" w:styleId="afffffffffff3">
    <w:name w:val="annotation reference"/>
    <w:basedOn w:val="afff6"/>
    <w:uiPriority w:val="99"/>
    <w:semiHidden/>
    <w:unhideWhenUsed/>
    <w:rsid w:val="0083458D"/>
    <w:rPr>
      <w:sz w:val="21"/>
      <w:szCs w:val="21"/>
    </w:rPr>
  </w:style>
  <w:style w:type="paragraph" w:styleId="afffffffffff4">
    <w:name w:val="annotation text"/>
    <w:basedOn w:val="afff5"/>
    <w:link w:val="Char7"/>
    <w:uiPriority w:val="99"/>
    <w:semiHidden/>
    <w:unhideWhenUsed/>
    <w:rsid w:val="0083458D"/>
    <w:pPr>
      <w:jc w:val="left"/>
    </w:pPr>
  </w:style>
  <w:style w:type="character" w:customStyle="1" w:styleId="Char7">
    <w:name w:val="批注文字 Char"/>
    <w:basedOn w:val="afff6"/>
    <w:link w:val="afffffffffff4"/>
    <w:uiPriority w:val="99"/>
    <w:semiHidden/>
    <w:rsid w:val="0083458D"/>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image" Target="media/image3.jpeg"/><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5B2B25F14E2B41BE8CEB1C606C602429"/>
        <w:category>
          <w:name w:val="常规"/>
          <w:gallery w:val="placeholder"/>
        </w:category>
        <w:types>
          <w:type w:val="bbPlcHdr"/>
        </w:types>
        <w:behaviors>
          <w:behavior w:val="content"/>
        </w:behaviors>
        <w:guid w:val="{FF3A515A-82CD-4FC4-AF1D-0EBD24B15377}"/>
      </w:docPartPr>
      <w:docPartBody>
        <w:p w:rsidR="00A16A89" w:rsidRDefault="007D494E">
          <w:pPr>
            <w:pStyle w:val="5B2B25F14E2B41BE8CEB1C606C602429"/>
          </w:pPr>
          <w:r>
            <w:rPr>
              <w:rStyle w:val="a3"/>
              <w:rFonts w:hint="eastAsia"/>
            </w:rPr>
            <w:t>单击或点击此处输入文字。</w:t>
          </w:r>
        </w:p>
      </w:docPartBody>
    </w:docPart>
    <w:docPart>
      <w:docPartPr>
        <w:name w:val="BF1A74E022944492BCA36EC633F95DA2"/>
        <w:category>
          <w:name w:val="常规"/>
          <w:gallery w:val="placeholder"/>
        </w:category>
        <w:types>
          <w:type w:val="bbPlcHdr"/>
        </w:types>
        <w:behaviors>
          <w:behavior w:val="content"/>
        </w:behaviors>
        <w:guid w:val="{727271E0-F455-4AF6-8E68-51075135BF6D}"/>
      </w:docPartPr>
      <w:docPartBody>
        <w:p w:rsidR="00A16A89" w:rsidRDefault="007D494E">
          <w:pPr>
            <w:pStyle w:val="BF1A74E022944492BCA36EC633F95DA2"/>
          </w:pPr>
          <w:r>
            <w:rPr>
              <w:rStyle w:val="a3"/>
              <w:rFonts w:hint="eastAsia"/>
            </w:rPr>
            <w:t>选择一项。</w:t>
          </w:r>
        </w:p>
      </w:docPartBody>
    </w:docPart>
    <w:docPart>
      <w:docPartPr>
        <w:name w:val="7F4ED008B3B74F18BB02BFD7B9B40A31"/>
        <w:category>
          <w:name w:val="常规"/>
          <w:gallery w:val="placeholder"/>
        </w:category>
        <w:types>
          <w:type w:val="bbPlcHdr"/>
        </w:types>
        <w:behaviors>
          <w:behavior w:val="content"/>
        </w:behaviors>
        <w:guid w:val="{867068E9-D352-4635-8833-7E4C7658A195}"/>
      </w:docPartPr>
      <w:docPartBody>
        <w:p w:rsidR="00A16A89" w:rsidRDefault="007D494E">
          <w:pPr>
            <w:pStyle w:val="7F4ED008B3B74F18BB02BFD7B9B40A31"/>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072"/>
    <w:rsid w:val="000C1C42"/>
    <w:rsid w:val="007D494E"/>
    <w:rsid w:val="00821072"/>
    <w:rsid w:val="00832BA3"/>
    <w:rsid w:val="009A1FFF"/>
    <w:rsid w:val="00A16A89"/>
    <w:rsid w:val="00D37D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5B2B25F14E2B41BE8CEB1C606C602429">
    <w:name w:val="5B2B25F14E2B41BE8CEB1C606C602429"/>
    <w:qFormat/>
    <w:pPr>
      <w:widowControl w:val="0"/>
      <w:jc w:val="both"/>
    </w:pPr>
    <w:rPr>
      <w:kern w:val="2"/>
      <w:sz w:val="21"/>
      <w:szCs w:val="22"/>
    </w:rPr>
  </w:style>
  <w:style w:type="paragraph" w:customStyle="1" w:styleId="BF1A74E022944492BCA36EC633F95DA2">
    <w:name w:val="BF1A74E022944492BCA36EC633F95DA2"/>
    <w:pPr>
      <w:widowControl w:val="0"/>
      <w:jc w:val="both"/>
    </w:pPr>
    <w:rPr>
      <w:kern w:val="2"/>
      <w:sz w:val="21"/>
      <w:szCs w:val="22"/>
    </w:rPr>
  </w:style>
  <w:style w:type="paragraph" w:customStyle="1" w:styleId="7F4ED008B3B74F18BB02BFD7B9B40A31">
    <w:name w:val="7F4ED008B3B74F18BB02BFD7B9B40A31"/>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2D7AC2-37B5-4ADD-9D70-015990C632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Template>
  <TotalTime>776</TotalTime>
  <Pages>13</Pages>
  <Words>1578</Words>
  <Characters>8996</Characters>
  <Application>Microsoft Office Word</Application>
  <DocSecurity>0</DocSecurity>
  <Lines>74</Lines>
  <Paragraphs>21</Paragraphs>
  <ScaleCrop>false</ScaleCrop>
  <Company>PCMI</Company>
  <LinksUpToDate>false</LinksUpToDate>
  <CharactersWithSpaces>10553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xb21cn</dc:creator>
  <dc:description>&lt;config cover="true" show_menu="true" version="1.0.0" doctype="SDKXY"&gt;_x000d_
&lt;/config&gt;</dc:description>
  <cp:lastModifiedBy>沈金磊</cp:lastModifiedBy>
  <cp:revision>25</cp:revision>
  <cp:lastPrinted>2023-02-07T08:52:00Z</cp:lastPrinted>
  <dcterms:created xsi:type="dcterms:W3CDTF">2023-02-07T08:26:00Z</dcterms:created>
  <dcterms:modified xsi:type="dcterms:W3CDTF">2024-11-08T09:45:00Z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2052-11.1.0.13703</vt:lpwstr>
  </property>
  <property fmtid="{D5CDD505-2E9C-101B-9397-08002B2CF9AE}" pid="15" name="ICV">
    <vt:lpwstr>D5948241032F40C2A5937DF5AED9C441</vt:lpwstr>
  </property>
</Properties>
</file>